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11DA2">
      <w:pPr>
        <w:widowControl/>
        <w:adjustRightInd w:val="0"/>
        <w:snapToGrid w:val="0"/>
        <w:contextualSpacing/>
        <w:rPr>
          <w:rFonts w:ascii="Times New Roman" w:hAnsi="Times New Roman" w:cs="Times New Roman"/>
          <w:color w:val="000000" w:themeColor="text1"/>
          <w:kern w:val="0"/>
          <w:szCs w:val="21"/>
        </w:rPr>
      </w:pPr>
      <w:bookmarkStart w:id="0" w:name="_Toc22168"/>
      <w:bookmarkStart w:id="1" w:name="_Toc32290"/>
      <w:bookmarkStart w:id="2" w:name="_Toc14452"/>
      <w:bookmarkStart w:id="3" w:name="_Toc12255"/>
      <w:bookmarkStart w:id="4" w:name="_Toc4574"/>
    </w:p>
    <w:p w14:paraId="6D71C270">
      <w:pPr>
        <w:widowControl/>
        <w:adjustRightInd w:val="0"/>
        <w:snapToGrid w:val="0"/>
        <w:contextualSpacing/>
        <w:jc w:val="center"/>
        <w:rPr>
          <w:rFonts w:ascii="Times New Roman" w:hAnsi="Times New Roman" w:cs="Times New Roman"/>
          <w:color w:val="000000" w:themeColor="text1"/>
          <w:kern w:val="0"/>
          <w:szCs w:val="21"/>
        </w:rPr>
      </w:pPr>
    </w:p>
    <w:p w14:paraId="24C848DA">
      <w:pPr>
        <w:pStyle w:val="17"/>
        <w:ind w:firstLine="480"/>
        <w:rPr>
          <w:color w:val="000000" w:themeColor="text1"/>
          <w:kern w:val="0"/>
          <w:szCs w:val="21"/>
        </w:rPr>
      </w:pPr>
    </w:p>
    <w:p w14:paraId="37D65826">
      <w:pPr>
        <w:rPr>
          <w:rFonts w:ascii="Times New Roman" w:hAnsi="Times New Roman" w:cs="Times New Roman"/>
          <w:color w:val="000000" w:themeColor="text1"/>
        </w:rPr>
      </w:pPr>
    </w:p>
    <w:p w14:paraId="2F9C6FBC">
      <w:pPr>
        <w:pStyle w:val="17"/>
        <w:tabs>
          <w:tab w:val="left" w:pos="7130"/>
        </w:tabs>
        <w:ind w:firstLine="480"/>
        <w:rPr>
          <w:rFonts w:hint="eastAsia" w:eastAsia="宋体"/>
          <w:color w:val="000000" w:themeColor="text1"/>
          <w:lang w:eastAsia="zh-CN"/>
        </w:rPr>
      </w:pPr>
      <w:r>
        <w:rPr>
          <w:rFonts w:hint="eastAsia"/>
          <w:color w:val="000000" w:themeColor="text1"/>
          <w:lang w:eastAsia="zh-CN"/>
        </w:rPr>
        <w:tab/>
      </w:r>
      <w:bookmarkStart w:id="56" w:name="_GoBack"/>
      <w:bookmarkEnd w:id="56"/>
    </w:p>
    <w:p w14:paraId="2430FDB4">
      <w:pPr>
        <w:rPr>
          <w:rFonts w:ascii="Times New Roman" w:hAnsi="Times New Roman" w:cs="Times New Roman"/>
          <w:color w:val="000000" w:themeColor="text1"/>
        </w:rPr>
      </w:pPr>
    </w:p>
    <w:p w14:paraId="6AF69A23">
      <w:pPr>
        <w:widowControl/>
        <w:adjustRightInd w:val="0"/>
        <w:snapToGrid w:val="0"/>
        <w:contextualSpacing/>
        <w:jc w:val="center"/>
        <w:rPr>
          <w:rFonts w:ascii="Times New Roman" w:hAnsi="Times New Roman" w:cs="Times New Roman"/>
          <w:color w:val="000000" w:themeColor="text1"/>
          <w:kern w:val="0"/>
          <w:szCs w:val="21"/>
        </w:rPr>
      </w:pPr>
    </w:p>
    <w:p w14:paraId="0FBC7EE2">
      <w:pPr>
        <w:widowControl/>
        <w:adjustRightInd w:val="0"/>
        <w:snapToGrid w:val="0"/>
        <w:contextualSpacing/>
        <w:jc w:val="center"/>
        <w:rPr>
          <w:rFonts w:ascii="Times New Roman" w:hAnsi="Times New Roman" w:eastAsia="方正小标宋简体" w:cs="Times New Roman"/>
          <w:bCs/>
          <w:color w:val="000000" w:themeColor="text1"/>
          <w:kern w:val="0"/>
          <w:sz w:val="52"/>
          <w:szCs w:val="52"/>
        </w:rPr>
      </w:pPr>
      <w:bookmarkStart w:id="5" w:name="_Toc25192"/>
      <w:bookmarkStart w:id="6" w:name="_Toc21171"/>
      <w:bookmarkStart w:id="7" w:name="_Toc14748"/>
      <w:bookmarkStart w:id="8" w:name="_Toc1596"/>
      <w:bookmarkStart w:id="9" w:name="_Toc1195"/>
      <w:bookmarkStart w:id="10" w:name="_Toc20596"/>
      <w:r>
        <w:rPr>
          <w:rFonts w:ascii="Times New Roman" w:hAnsi="Times New Roman" w:eastAsia="方正小标宋简体" w:cs="Times New Roman"/>
          <w:bCs/>
          <w:color w:val="000000" w:themeColor="text1"/>
          <w:kern w:val="0"/>
          <w:sz w:val="52"/>
          <w:szCs w:val="52"/>
        </w:rPr>
        <w:t>四平红嘴经济技术开发区</w:t>
      </w:r>
      <w:bookmarkEnd w:id="0"/>
      <w:bookmarkEnd w:id="1"/>
      <w:bookmarkEnd w:id="5"/>
      <w:bookmarkEnd w:id="6"/>
      <w:bookmarkEnd w:id="7"/>
      <w:bookmarkEnd w:id="8"/>
      <w:bookmarkEnd w:id="9"/>
      <w:bookmarkEnd w:id="10"/>
    </w:p>
    <w:p w14:paraId="5198331F">
      <w:pPr>
        <w:widowControl/>
        <w:adjustRightInd w:val="0"/>
        <w:snapToGrid w:val="0"/>
        <w:contextualSpacing/>
        <w:jc w:val="center"/>
        <w:rPr>
          <w:rFonts w:ascii="Times New Roman" w:hAnsi="Times New Roman" w:eastAsia="方正小标宋简体" w:cs="Times New Roman"/>
          <w:bCs/>
          <w:color w:val="000000" w:themeColor="text1"/>
          <w:kern w:val="0"/>
          <w:sz w:val="52"/>
          <w:szCs w:val="52"/>
        </w:rPr>
      </w:pPr>
      <w:r>
        <w:rPr>
          <w:rFonts w:ascii="Times New Roman" w:hAnsi="Times New Roman" w:eastAsia="方正小标宋简体" w:cs="Times New Roman"/>
          <w:bCs/>
          <w:color w:val="000000" w:themeColor="text1"/>
          <w:kern w:val="0"/>
          <w:sz w:val="52"/>
          <w:szCs w:val="52"/>
        </w:rPr>
        <w:t>“十五五”发展规划</w:t>
      </w:r>
    </w:p>
    <w:bookmarkEnd w:id="2"/>
    <w:bookmarkEnd w:id="3"/>
    <w:bookmarkEnd w:id="4"/>
    <w:p w14:paraId="410DC3EC">
      <w:pPr>
        <w:widowControl/>
        <w:adjustRightInd w:val="0"/>
        <w:snapToGrid w:val="0"/>
        <w:contextualSpacing/>
        <w:jc w:val="center"/>
        <w:rPr>
          <w:rFonts w:ascii="Times New Roman" w:hAnsi="Times New Roman" w:cs="Times New Roman"/>
          <w:color w:val="000000" w:themeColor="text1"/>
          <w:kern w:val="0"/>
          <w:szCs w:val="21"/>
        </w:rPr>
      </w:pPr>
    </w:p>
    <w:p w14:paraId="160CA78B">
      <w:pPr>
        <w:widowControl/>
        <w:adjustRightInd w:val="0"/>
        <w:snapToGrid w:val="0"/>
        <w:contextualSpacing/>
        <w:jc w:val="center"/>
        <w:rPr>
          <w:rFonts w:ascii="Times New Roman" w:hAnsi="Times New Roman" w:cs="Times New Roman"/>
          <w:color w:val="000000" w:themeColor="text1"/>
          <w:kern w:val="0"/>
          <w:szCs w:val="21"/>
        </w:rPr>
      </w:pPr>
    </w:p>
    <w:p w14:paraId="51C66EB5">
      <w:pPr>
        <w:widowControl/>
        <w:adjustRightInd w:val="0"/>
        <w:snapToGrid w:val="0"/>
        <w:contextualSpacing/>
        <w:jc w:val="center"/>
        <w:rPr>
          <w:rFonts w:ascii="Times New Roman" w:hAnsi="Times New Roman" w:cs="Times New Roman"/>
          <w:color w:val="000000" w:themeColor="text1"/>
          <w:kern w:val="0"/>
          <w:szCs w:val="21"/>
        </w:rPr>
      </w:pPr>
    </w:p>
    <w:p w14:paraId="4184B215">
      <w:pPr>
        <w:widowControl/>
        <w:adjustRightInd w:val="0"/>
        <w:snapToGrid w:val="0"/>
        <w:contextualSpacing/>
        <w:jc w:val="center"/>
        <w:rPr>
          <w:rFonts w:ascii="Times New Roman" w:hAnsi="Times New Roman" w:cs="Times New Roman"/>
          <w:color w:val="000000" w:themeColor="text1"/>
          <w:kern w:val="0"/>
          <w:szCs w:val="21"/>
        </w:rPr>
      </w:pPr>
    </w:p>
    <w:p w14:paraId="090D9FEE">
      <w:pPr>
        <w:widowControl/>
        <w:adjustRightInd w:val="0"/>
        <w:snapToGrid w:val="0"/>
        <w:contextualSpacing/>
        <w:jc w:val="center"/>
        <w:rPr>
          <w:rFonts w:ascii="Times New Roman" w:hAnsi="Times New Roman" w:cs="Times New Roman"/>
          <w:color w:val="000000" w:themeColor="text1"/>
          <w:kern w:val="0"/>
          <w:szCs w:val="21"/>
        </w:rPr>
      </w:pPr>
    </w:p>
    <w:p w14:paraId="2B6B7AB8">
      <w:pPr>
        <w:widowControl/>
        <w:adjustRightInd w:val="0"/>
        <w:snapToGrid w:val="0"/>
        <w:contextualSpacing/>
        <w:jc w:val="center"/>
        <w:rPr>
          <w:rFonts w:ascii="Times New Roman" w:hAnsi="Times New Roman" w:cs="Times New Roman"/>
          <w:color w:val="000000" w:themeColor="text1"/>
          <w:kern w:val="0"/>
          <w:szCs w:val="21"/>
        </w:rPr>
      </w:pPr>
    </w:p>
    <w:p w14:paraId="4F9A9E79">
      <w:pPr>
        <w:widowControl/>
        <w:adjustRightInd w:val="0"/>
        <w:snapToGrid w:val="0"/>
        <w:contextualSpacing/>
        <w:jc w:val="center"/>
        <w:rPr>
          <w:rFonts w:ascii="Times New Roman" w:hAnsi="Times New Roman" w:cs="Times New Roman"/>
          <w:color w:val="000000" w:themeColor="text1"/>
          <w:kern w:val="0"/>
          <w:szCs w:val="21"/>
        </w:rPr>
      </w:pPr>
    </w:p>
    <w:p w14:paraId="029B942A">
      <w:pPr>
        <w:widowControl/>
        <w:adjustRightInd w:val="0"/>
        <w:snapToGrid w:val="0"/>
        <w:contextualSpacing/>
        <w:jc w:val="center"/>
        <w:rPr>
          <w:rFonts w:ascii="Times New Roman" w:hAnsi="Times New Roman" w:cs="Times New Roman"/>
          <w:color w:val="000000" w:themeColor="text1"/>
          <w:kern w:val="0"/>
          <w:szCs w:val="21"/>
        </w:rPr>
      </w:pPr>
    </w:p>
    <w:p w14:paraId="74B1746C">
      <w:pPr>
        <w:widowControl/>
        <w:adjustRightInd w:val="0"/>
        <w:snapToGrid w:val="0"/>
        <w:contextualSpacing/>
        <w:jc w:val="center"/>
        <w:rPr>
          <w:rFonts w:ascii="Times New Roman" w:hAnsi="Times New Roman" w:cs="Times New Roman"/>
          <w:color w:val="000000" w:themeColor="text1"/>
          <w:kern w:val="0"/>
          <w:szCs w:val="21"/>
        </w:rPr>
      </w:pPr>
    </w:p>
    <w:p w14:paraId="33F4BA31">
      <w:pPr>
        <w:widowControl/>
        <w:adjustRightInd w:val="0"/>
        <w:snapToGrid w:val="0"/>
        <w:contextualSpacing/>
        <w:jc w:val="center"/>
        <w:rPr>
          <w:rFonts w:ascii="Times New Roman" w:hAnsi="Times New Roman" w:cs="Times New Roman"/>
          <w:color w:val="000000" w:themeColor="text1"/>
          <w:kern w:val="0"/>
          <w:szCs w:val="21"/>
        </w:rPr>
      </w:pPr>
    </w:p>
    <w:p w14:paraId="3A7F87C0">
      <w:pPr>
        <w:widowControl/>
        <w:adjustRightInd w:val="0"/>
        <w:snapToGrid w:val="0"/>
        <w:contextualSpacing/>
        <w:jc w:val="center"/>
        <w:rPr>
          <w:rFonts w:ascii="Times New Roman" w:hAnsi="Times New Roman" w:cs="Times New Roman"/>
          <w:color w:val="000000" w:themeColor="text1"/>
          <w:kern w:val="0"/>
          <w:szCs w:val="21"/>
        </w:rPr>
      </w:pPr>
    </w:p>
    <w:p w14:paraId="1E9B7CFA">
      <w:pPr>
        <w:widowControl/>
        <w:adjustRightInd w:val="0"/>
        <w:snapToGrid w:val="0"/>
        <w:contextualSpacing/>
        <w:jc w:val="center"/>
        <w:rPr>
          <w:rFonts w:ascii="Times New Roman" w:hAnsi="Times New Roman" w:cs="Times New Roman"/>
          <w:color w:val="000000" w:themeColor="text1"/>
          <w:kern w:val="0"/>
          <w:szCs w:val="21"/>
        </w:rPr>
      </w:pPr>
    </w:p>
    <w:p w14:paraId="05DAC1F6">
      <w:pPr>
        <w:widowControl/>
        <w:adjustRightInd w:val="0"/>
        <w:snapToGrid w:val="0"/>
        <w:contextualSpacing/>
        <w:jc w:val="center"/>
        <w:rPr>
          <w:rFonts w:ascii="Times New Roman" w:hAnsi="Times New Roman" w:cs="Times New Roman"/>
          <w:color w:val="000000" w:themeColor="text1"/>
          <w:kern w:val="0"/>
          <w:szCs w:val="21"/>
        </w:rPr>
      </w:pPr>
    </w:p>
    <w:p w14:paraId="07B36B5C">
      <w:pPr>
        <w:widowControl/>
        <w:adjustRightInd w:val="0"/>
        <w:snapToGrid w:val="0"/>
        <w:contextualSpacing/>
        <w:jc w:val="center"/>
        <w:rPr>
          <w:rFonts w:ascii="Times New Roman" w:hAnsi="Times New Roman" w:cs="Times New Roman"/>
          <w:color w:val="000000" w:themeColor="text1"/>
          <w:kern w:val="0"/>
          <w:szCs w:val="21"/>
        </w:rPr>
      </w:pPr>
    </w:p>
    <w:p w14:paraId="3971FEDA">
      <w:pPr>
        <w:widowControl/>
        <w:adjustRightInd w:val="0"/>
        <w:snapToGrid w:val="0"/>
        <w:contextualSpacing/>
        <w:jc w:val="center"/>
        <w:rPr>
          <w:rFonts w:ascii="Times New Roman" w:hAnsi="Times New Roman" w:cs="Times New Roman"/>
          <w:color w:val="000000" w:themeColor="text1"/>
          <w:kern w:val="0"/>
          <w:szCs w:val="21"/>
        </w:rPr>
      </w:pPr>
    </w:p>
    <w:p w14:paraId="1F99FF5F">
      <w:pPr>
        <w:widowControl/>
        <w:adjustRightInd w:val="0"/>
        <w:snapToGrid w:val="0"/>
        <w:contextualSpacing/>
        <w:jc w:val="center"/>
        <w:rPr>
          <w:rFonts w:ascii="Times New Roman" w:hAnsi="Times New Roman" w:cs="Times New Roman"/>
          <w:color w:val="000000" w:themeColor="text1"/>
          <w:kern w:val="0"/>
          <w:szCs w:val="21"/>
        </w:rPr>
      </w:pPr>
    </w:p>
    <w:p w14:paraId="670939DC">
      <w:pPr>
        <w:widowControl/>
        <w:adjustRightInd w:val="0"/>
        <w:snapToGrid w:val="0"/>
        <w:contextualSpacing/>
        <w:jc w:val="center"/>
        <w:rPr>
          <w:rFonts w:ascii="Times New Roman" w:hAnsi="Times New Roman" w:cs="Times New Roman"/>
          <w:color w:val="000000" w:themeColor="text1"/>
          <w:kern w:val="0"/>
          <w:szCs w:val="21"/>
        </w:rPr>
      </w:pPr>
    </w:p>
    <w:p w14:paraId="5F3CB15D">
      <w:pPr>
        <w:widowControl/>
        <w:adjustRightInd w:val="0"/>
        <w:snapToGrid w:val="0"/>
        <w:contextualSpacing/>
        <w:jc w:val="center"/>
        <w:rPr>
          <w:rFonts w:ascii="Times New Roman" w:hAnsi="Times New Roman" w:cs="Times New Roman"/>
          <w:color w:val="000000" w:themeColor="text1"/>
          <w:kern w:val="0"/>
          <w:szCs w:val="21"/>
        </w:rPr>
      </w:pPr>
    </w:p>
    <w:p w14:paraId="453F109A">
      <w:pPr>
        <w:widowControl/>
        <w:adjustRightInd w:val="0"/>
        <w:snapToGrid w:val="0"/>
        <w:contextualSpacing/>
        <w:jc w:val="center"/>
        <w:rPr>
          <w:rFonts w:ascii="Times New Roman" w:hAnsi="Times New Roman" w:cs="Times New Roman"/>
          <w:color w:val="000000" w:themeColor="text1"/>
          <w:kern w:val="0"/>
          <w:szCs w:val="21"/>
        </w:rPr>
      </w:pPr>
    </w:p>
    <w:p w14:paraId="3DD90199">
      <w:pPr>
        <w:widowControl/>
        <w:adjustRightInd w:val="0"/>
        <w:snapToGrid w:val="0"/>
        <w:contextualSpacing/>
        <w:jc w:val="center"/>
        <w:rPr>
          <w:rFonts w:ascii="Times New Roman" w:hAnsi="Times New Roman" w:cs="Times New Roman"/>
          <w:color w:val="000000" w:themeColor="text1"/>
          <w:kern w:val="0"/>
          <w:szCs w:val="21"/>
        </w:rPr>
      </w:pPr>
    </w:p>
    <w:p w14:paraId="7AA5B92E">
      <w:pPr>
        <w:widowControl/>
        <w:adjustRightInd w:val="0"/>
        <w:snapToGrid w:val="0"/>
        <w:contextualSpacing/>
        <w:jc w:val="center"/>
        <w:rPr>
          <w:rFonts w:ascii="Times New Roman" w:hAnsi="Times New Roman" w:cs="Times New Roman"/>
          <w:color w:val="000000" w:themeColor="text1"/>
          <w:kern w:val="0"/>
          <w:szCs w:val="21"/>
        </w:rPr>
      </w:pPr>
    </w:p>
    <w:p w14:paraId="073AB7EC">
      <w:pPr>
        <w:widowControl/>
        <w:adjustRightInd w:val="0"/>
        <w:snapToGrid w:val="0"/>
        <w:contextualSpacing/>
        <w:jc w:val="center"/>
        <w:rPr>
          <w:rFonts w:ascii="Times New Roman" w:hAnsi="Times New Roman" w:cs="Times New Roman"/>
          <w:color w:val="000000" w:themeColor="text1"/>
          <w:kern w:val="0"/>
          <w:szCs w:val="21"/>
        </w:rPr>
      </w:pPr>
    </w:p>
    <w:p w14:paraId="618F2F05">
      <w:pPr>
        <w:widowControl/>
        <w:adjustRightInd w:val="0"/>
        <w:snapToGrid w:val="0"/>
        <w:contextualSpacing/>
        <w:rPr>
          <w:rFonts w:ascii="Times New Roman" w:hAnsi="Times New Roman" w:cs="Times New Roman"/>
          <w:color w:val="000000" w:themeColor="text1"/>
          <w:kern w:val="0"/>
          <w:szCs w:val="21"/>
        </w:rPr>
      </w:pPr>
    </w:p>
    <w:p w14:paraId="0E0740F2">
      <w:pPr>
        <w:widowControl/>
        <w:adjustRightInd w:val="0"/>
        <w:snapToGrid w:val="0"/>
        <w:contextualSpacing/>
        <w:jc w:val="center"/>
        <w:rPr>
          <w:rFonts w:ascii="Times New Roman" w:hAnsi="Times New Roman" w:cs="Times New Roman"/>
          <w:color w:val="000000" w:themeColor="text1"/>
          <w:kern w:val="0"/>
          <w:szCs w:val="21"/>
        </w:rPr>
      </w:pPr>
    </w:p>
    <w:p w14:paraId="67CCC07E">
      <w:pPr>
        <w:widowControl/>
        <w:adjustRightInd w:val="0"/>
        <w:snapToGrid w:val="0"/>
        <w:contextualSpacing/>
        <w:jc w:val="center"/>
        <w:rPr>
          <w:rFonts w:ascii="Times New Roman" w:hAnsi="Times New Roman" w:cs="Times New Roman"/>
          <w:color w:val="000000" w:themeColor="text1"/>
          <w:kern w:val="0"/>
          <w:szCs w:val="21"/>
        </w:rPr>
      </w:pPr>
    </w:p>
    <w:p w14:paraId="54FDF200">
      <w:pPr>
        <w:widowControl/>
        <w:adjustRightInd w:val="0"/>
        <w:snapToGrid w:val="0"/>
        <w:contextualSpacing/>
        <w:jc w:val="center"/>
        <w:rPr>
          <w:rFonts w:ascii="Times New Roman" w:hAnsi="Times New Roman" w:cs="Times New Roman"/>
          <w:color w:val="000000" w:themeColor="text1"/>
          <w:kern w:val="0"/>
          <w:szCs w:val="21"/>
        </w:rPr>
      </w:pPr>
    </w:p>
    <w:p w14:paraId="069211BC">
      <w:pPr>
        <w:widowControl/>
        <w:adjustRightInd w:val="0"/>
        <w:snapToGrid w:val="0"/>
        <w:contextualSpacing/>
        <w:jc w:val="center"/>
        <w:rPr>
          <w:rFonts w:ascii="Times New Roman" w:hAnsi="Times New Roman" w:cs="Times New Roman"/>
          <w:color w:val="000000" w:themeColor="text1"/>
          <w:kern w:val="0"/>
          <w:szCs w:val="21"/>
        </w:rPr>
      </w:pPr>
    </w:p>
    <w:p w14:paraId="60FB6F87">
      <w:pPr>
        <w:widowControl/>
        <w:adjustRightInd w:val="0"/>
        <w:snapToGrid w:val="0"/>
        <w:contextualSpacing/>
        <w:jc w:val="center"/>
        <w:rPr>
          <w:rFonts w:ascii="Times New Roman" w:hAnsi="Times New Roman" w:cs="Times New Roman"/>
          <w:color w:val="000000" w:themeColor="text1"/>
          <w:kern w:val="0"/>
          <w:szCs w:val="21"/>
        </w:rPr>
      </w:pPr>
    </w:p>
    <w:p w14:paraId="5C2737E1">
      <w:pPr>
        <w:widowControl/>
        <w:adjustRightInd w:val="0"/>
        <w:snapToGrid w:val="0"/>
        <w:contextualSpacing/>
        <w:jc w:val="center"/>
        <w:rPr>
          <w:rFonts w:ascii="Times New Roman" w:hAnsi="Times New Roman" w:cs="Times New Roman"/>
          <w:color w:val="000000" w:themeColor="text1"/>
          <w:kern w:val="0"/>
          <w:szCs w:val="21"/>
        </w:rPr>
      </w:pPr>
    </w:p>
    <w:p w14:paraId="473B6779">
      <w:pPr>
        <w:widowControl/>
        <w:adjustRightInd w:val="0"/>
        <w:snapToGrid w:val="0"/>
        <w:contextualSpacing/>
        <w:jc w:val="center"/>
        <w:rPr>
          <w:rFonts w:ascii="Times New Roman" w:hAnsi="Times New Roman" w:eastAsia="楷体" w:cs="Times New Roman"/>
          <w:color w:val="000000" w:themeColor="text1"/>
          <w:kern w:val="0"/>
          <w:sz w:val="36"/>
          <w:szCs w:val="36"/>
        </w:rPr>
      </w:pPr>
      <w:r>
        <w:rPr>
          <w:rFonts w:ascii="Times New Roman" w:hAnsi="Times New Roman" w:eastAsia="楷体" w:cs="Times New Roman"/>
          <w:color w:val="000000" w:themeColor="text1"/>
          <w:kern w:val="0"/>
          <w:sz w:val="36"/>
          <w:szCs w:val="36"/>
        </w:rPr>
        <w:t>四平红嘴经济技术开发区管理委员会</w:t>
      </w:r>
    </w:p>
    <w:p w14:paraId="1466B4AF">
      <w:pPr>
        <w:jc w:val="center"/>
        <w:rPr>
          <w:rFonts w:ascii="Times New Roman" w:hAnsi="Times New Roman" w:eastAsia="楷体" w:cs="Times New Roman"/>
          <w:color w:val="000000" w:themeColor="text1"/>
          <w:kern w:val="0"/>
          <w:sz w:val="36"/>
          <w:szCs w:val="36"/>
        </w:rPr>
      </w:pPr>
      <w:bookmarkStart w:id="11" w:name="_Toc12124"/>
      <w:bookmarkStart w:id="12" w:name="_Toc14357"/>
      <w:bookmarkStart w:id="13" w:name="_Toc14045"/>
      <w:bookmarkStart w:id="14" w:name="_Toc7412"/>
      <w:bookmarkStart w:id="15" w:name="_Toc32329"/>
      <w:r>
        <w:rPr>
          <w:rFonts w:ascii="Times New Roman" w:hAnsi="Times New Roman" w:eastAsia="楷体" w:cs="Times New Roman"/>
          <w:color w:val="000000" w:themeColor="text1"/>
          <w:kern w:val="0"/>
          <w:sz w:val="36"/>
          <w:szCs w:val="36"/>
        </w:rPr>
        <w:t>二〇二五年十二月</w:t>
      </w:r>
      <w:bookmarkEnd w:id="11"/>
      <w:bookmarkEnd w:id="12"/>
      <w:bookmarkEnd w:id="13"/>
      <w:bookmarkEnd w:id="14"/>
      <w:bookmarkEnd w:id="15"/>
    </w:p>
    <w:p w14:paraId="50AECD52">
      <w:pPr>
        <w:jc w:val="center"/>
        <w:rPr>
          <w:rFonts w:ascii="Times New Roman" w:hAnsi="Times New Roman" w:cs="Times New Roman"/>
          <w:b/>
          <w:bCs/>
          <w:color w:val="000000" w:themeColor="text1"/>
          <w:sz w:val="28"/>
          <w:szCs w:val="36"/>
        </w:rPr>
      </w:pPr>
      <w:r>
        <w:rPr>
          <w:rFonts w:ascii="Times New Roman" w:hAnsi="Times New Roman" w:cs="Times New Roman"/>
          <w:b/>
          <w:bCs/>
          <w:color w:val="000000" w:themeColor="text1"/>
          <w:sz w:val="28"/>
          <w:szCs w:val="36"/>
        </w:rPr>
        <w:br w:type="page"/>
      </w:r>
    </w:p>
    <w:sdt>
      <w:sdtPr>
        <w:rPr>
          <w:rFonts w:ascii="Times New Roman" w:hAnsi="Times New Roman" w:eastAsia="黑体" w:cs="Times New Roman"/>
          <w:b/>
          <w:bCs/>
          <w:color w:val="000000" w:themeColor="text1"/>
          <w:sz w:val="36"/>
          <w:szCs w:val="44"/>
        </w:rPr>
        <w:id w:val="147476256"/>
        <w:docPartObj>
          <w:docPartGallery w:val="Table of Contents"/>
          <w:docPartUnique/>
        </w:docPartObj>
      </w:sdtPr>
      <w:sdtEndPr>
        <w:rPr>
          <w:rFonts w:ascii="Times New Roman" w:hAnsi="Times New Roman" w:eastAsia="黑体" w:cs="Times New Roman"/>
          <w:b/>
          <w:bCs/>
          <w:color w:val="000000" w:themeColor="text1"/>
          <w:sz w:val="32"/>
          <w:szCs w:val="32"/>
        </w:rPr>
      </w:sdtEndPr>
      <w:sdtContent>
        <w:p w14:paraId="2BF6ACAC">
          <w:pPr>
            <w:spacing w:afterLines="50" w:line="480" w:lineRule="exact"/>
            <w:jc w:val="center"/>
            <w:rPr>
              <w:rFonts w:ascii="Times New Roman" w:hAnsi="Times New Roman" w:eastAsia="黑体" w:cs="Times New Roman"/>
              <w:b/>
              <w:bCs/>
              <w:color w:val="000000" w:themeColor="text1"/>
              <w:sz w:val="32"/>
              <w:szCs w:val="32"/>
            </w:rPr>
          </w:pPr>
          <w:r>
            <w:rPr>
              <w:rFonts w:ascii="Times New Roman" w:hAnsi="Times New Roman" w:eastAsia="黑体" w:cs="Times New Roman"/>
              <w:b/>
              <w:bCs/>
              <w:color w:val="000000" w:themeColor="text1"/>
              <w:sz w:val="32"/>
              <w:szCs w:val="32"/>
            </w:rPr>
            <w:t>目录</w:t>
          </w:r>
        </w:p>
        <w:p w14:paraId="06F22D0F">
          <w:pPr>
            <w:pStyle w:val="13"/>
            <w:tabs>
              <w:tab w:val="right" w:leader="dot" w:pos="8301"/>
            </w:tabs>
            <w:spacing w:line="440" w:lineRule="exact"/>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TOC \o "1-2" \h \u </w:instrText>
          </w:r>
          <w:r>
            <w:rPr>
              <w:rFonts w:ascii="Times New Roman" w:hAnsi="Times New Roman" w:cs="Times New Roman"/>
              <w:color w:val="000000" w:themeColor="text1"/>
              <w:sz w:val="30"/>
              <w:szCs w:val="30"/>
            </w:rPr>
            <w:fldChar w:fldCharType="separate"/>
          </w:r>
          <w:r>
            <w:fldChar w:fldCharType="begin"/>
          </w:r>
          <w:r>
            <w:instrText xml:space="preserve"> HYPERLINK \l "_Toc28684" </w:instrText>
          </w:r>
          <w:r>
            <w:fldChar w:fldCharType="separate"/>
          </w:r>
          <w:r>
            <w:rPr>
              <w:rFonts w:ascii="Times New Roman" w:hAnsi="Times New Roman" w:eastAsia="黑体" w:cs="Times New Roman"/>
              <w:bCs/>
              <w:color w:val="000000" w:themeColor="text1"/>
              <w:sz w:val="30"/>
              <w:szCs w:val="30"/>
            </w:rPr>
            <w:t>一、发展基础</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_Toc28684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1</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5D60847C">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"_Toc22725" </w:instrText>
          </w:r>
          <w:r>
            <w:fldChar w:fldCharType="separate"/>
          </w:r>
          <w:r>
            <w:rPr>
              <w:rFonts w:ascii="Times New Roman" w:hAnsi="Times New Roman" w:eastAsia="楷体" w:cs="Times New Roman"/>
              <w:color w:val="000000" w:themeColor="text1"/>
              <w:sz w:val="30"/>
              <w:szCs w:val="30"/>
            </w:rPr>
            <w:t>（一）“十四五”时期取得的主要成绩</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_Toc22725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1</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230F9270">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"_Toc6062" </w:instrText>
          </w:r>
          <w:r>
            <w:fldChar w:fldCharType="separate"/>
          </w:r>
          <w:r>
            <w:rPr>
              <w:rFonts w:ascii="Times New Roman" w:hAnsi="Times New Roman" w:eastAsia="楷体" w:cs="Times New Roman"/>
              <w:color w:val="000000" w:themeColor="text1"/>
              <w:sz w:val="30"/>
              <w:szCs w:val="30"/>
            </w:rPr>
            <w:t>（二）“十五五”时期发展环境</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_Toc6062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6</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6C3E0850">
          <w:pPr>
            <w:pStyle w:val="13"/>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"_Toc8993" </w:instrText>
          </w:r>
          <w:r>
            <w:fldChar w:fldCharType="separate"/>
          </w:r>
          <w:r>
            <w:rPr>
              <w:rFonts w:ascii="Times New Roman" w:hAnsi="Times New Roman" w:eastAsia="黑体" w:cs="Times New Roman"/>
              <w:bCs/>
              <w:color w:val="000000" w:themeColor="text1"/>
              <w:sz w:val="30"/>
              <w:szCs w:val="30"/>
            </w:rPr>
            <w:t>二、总体要求</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_Toc8993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9</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4F0C2086">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"_Toc19952" </w:instrText>
          </w:r>
          <w:r>
            <w:fldChar w:fldCharType="separate"/>
          </w:r>
          <w:r>
            <w:rPr>
              <w:rFonts w:ascii="Times New Roman" w:hAnsi="Times New Roman" w:eastAsia="楷体" w:cs="Times New Roman"/>
              <w:color w:val="000000" w:themeColor="text1"/>
              <w:sz w:val="30"/>
              <w:szCs w:val="30"/>
            </w:rPr>
            <w:t>（一）指导思想</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_Toc19952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9</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084091EF">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"_Toc13567" </w:instrText>
          </w:r>
          <w:r>
            <w:fldChar w:fldCharType="separate"/>
          </w:r>
          <w:r>
            <w:rPr>
              <w:rFonts w:ascii="Times New Roman" w:hAnsi="Times New Roman" w:eastAsia="楷体" w:cs="Times New Roman"/>
              <w:color w:val="000000" w:themeColor="text1"/>
              <w:sz w:val="30"/>
              <w:szCs w:val="30"/>
            </w:rPr>
            <w:t>（二）基本原则</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_Toc13567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10</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3E0AD0DB">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"_Toc7313" </w:instrText>
          </w:r>
          <w:r>
            <w:fldChar w:fldCharType="separate"/>
          </w:r>
          <w:r>
            <w:rPr>
              <w:rFonts w:ascii="Times New Roman" w:hAnsi="Times New Roman" w:eastAsia="楷体" w:cs="Times New Roman"/>
              <w:color w:val="000000" w:themeColor="text1"/>
              <w:sz w:val="30"/>
              <w:szCs w:val="30"/>
            </w:rPr>
            <w:t>（三）发展目标</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_Toc7313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11</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0B29B695">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"_Toc22031" </w:instrText>
          </w:r>
          <w:r>
            <w:fldChar w:fldCharType="separate"/>
          </w:r>
          <w:r>
            <w:rPr>
              <w:rFonts w:ascii="Times New Roman" w:hAnsi="Times New Roman" w:eastAsia="楷体" w:cs="Times New Roman"/>
              <w:color w:val="000000" w:themeColor="text1"/>
              <w:sz w:val="30"/>
              <w:szCs w:val="30"/>
            </w:rPr>
            <w:t>（四）发展定位</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_Toc22031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13</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3707E870">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"_Toc17834" </w:instrText>
          </w:r>
          <w:r>
            <w:fldChar w:fldCharType="separate"/>
          </w:r>
          <w:r>
            <w:rPr>
              <w:rFonts w:ascii="Times New Roman" w:hAnsi="Times New Roman" w:eastAsia="楷体" w:cs="Times New Roman"/>
              <w:color w:val="000000" w:themeColor="text1"/>
              <w:sz w:val="30"/>
              <w:szCs w:val="30"/>
            </w:rPr>
            <w:t>（五）空间布局</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_Toc17834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15</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1AC8736B">
          <w:pPr>
            <w:pStyle w:val="13"/>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"_Toc7303" </w:instrText>
          </w:r>
          <w:r>
            <w:fldChar w:fldCharType="separate"/>
          </w:r>
          <w:r>
            <w:rPr>
              <w:rFonts w:ascii="Times New Roman" w:hAnsi="Times New Roman" w:eastAsia="黑体" w:cs="Times New Roman"/>
              <w:bCs/>
              <w:color w:val="000000" w:themeColor="text1"/>
              <w:sz w:val="30"/>
              <w:szCs w:val="30"/>
            </w:rPr>
            <w:t>三、产业体系</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_Toc7303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17</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3FE54ABC">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"_Toc30995" </w:instrText>
          </w:r>
          <w:r>
            <w:fldChar w:fldCharType="separate"/>
          </w:r>
          <w:r>
            <w:rPr>
              <w:rFonts w:ascii="Times New Roman" w:hAnsi="Times New Roman" w:eastAsia="楷体" w:cs="Times New Roman"/>
              <w:color w:val="000000" w:themeColor="text1"/>
              <w:sz w:val="30"/>
              <w:szCs w:val="30"/>
            </w:rPr>
            <w:t>（一）壮大升级三大主导产业</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_Toc30995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17</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15F300DE">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"_Toc2421" </w:instrText>
          </w:r>
          <w:r>
            <w:fldChar w:fldCharType="separate"/>
          </w:r>
          <w:r>
            <w:rPr>
              <w:rFonts w:ascii="Times New Roman" w:hAnsi="Times New Roman" w:eastAsia="楷体" w:cs="Times New Roman"/>
              <w:color w:val="000000" w:themeColor="text1"/>
              <w:sz w:val="30"/>
              <w:szCs w:val="30"/>
            </w:rPr>
            <w:t>（二）全力打造两大创新基地</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_Toc2421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26</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186FD343">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"_Toc18926" </w:instrText>
          </w:r>
          <w:r>
            <w:fldChar w:fldCharType="separate"/>
          </w:r>
          <w:r>
            <w:rPr>
              <w:rFonts w:ascii="Times New Roman" w:hAnsi="Times New Roman" w:eastAsia="楷体" w:cs="Times New Roman"/>
              <w:color w:val="000000" w:themeColor="text1"/>
              <w:sz w:val="30"/>
              <w:szCs w:val="30"/>
            </w:rPr>
            <w:t>（三）加快培育一个算力中心</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_Toc18926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32</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598526AC">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"_Toc18578" </w:instrText>
          </w:r>
          <w:r>
            <w:fldChar w:fldCharType="separate"/>
          </w:r>
          <w:r>
            <w:rPr>
              <w:rFonts w:ascii="Times New Roman" w:hAnsi="Times New Roman" w:eastAsia="楷体" w:cs="Times New Roman"/>
              <w:color w:val="000000" w:themeColor="text1"/>
              <w:sz w:val="30"/>
              <w:szCs w:val="30"/>
            </w:rPr>
            <w:t>（四）协同发展四个生产性服务业</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_Toc18578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34</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7DE73B21">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"_Toc3498" </w:instrText>
          </w:r>
          <w:r>
            <w:fldChar w:fldCharType="separate"/>
          </w:r>
          <w:r>
            <w:rPr>
              <w:rFonts w:ascii="Times New Roman" w:hAnsi="Times New Roman" w:eastAsia="楷体" w:cs="Times New Roman"/>
              <w:color w:val="000000" w:themeColor="text1"/>
              <w:sz w:val="30"/>
              <w:szCs w:val="30"/>
            </w:rPr>
            <w:t>（五）推动产业联动发展</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_Toc3498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36</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0186D32D">
          <w:pPr>
            <w:pStyle w:val="13"/>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"_Toc14279" </w:instrText>
          </w:r>
          <w:r>
            <w:fldChar w:fldCharType="separate"/>
          </w:r>
          <w:r>
            <w:rPr>
              <w:rFonts w:ascii="Times New Roman" w:hAnsi="Times New Roman" w:eastAsia="黑体" w:cs="Times New Roman"/>
              <w:bCs/>
              <w:color w:val="000000" w:themeColor="text1"/>
              <w:sz w:val="30"/>
              <w:szCs w:val="30"/>
            </w:rPr>
            <w:t>四、重点任务</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_Toc14279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38</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24180CDC">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"_Toc22519" </w:instrText>
          </w:r>
          <w:r>
            <w:fldChar w:fldCharType="separate"/>
          </w:r>
          <w:r>
            <w:rPr>
              <w:rFonts w:ascii="Times New Roman" w:hAnsi="Times New Roman" w:eastAsia="楷体" w:cs="Times New Roman"/>
              <w:color w:val="000000" w:themeColor="text1"/>
              <w:sz w:val="30"/>
              <w:szCs w:val="30"/>
            </w:rPr>
            <w:t>（一）培育发展新质生产力，打造四平创新策源地</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_Toc22519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39</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04550DF9">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"_Toc15297" </w:instrText>
          </w:r>
          <w:r>
            <w:fldChar w:fldCharType="separate"/>
          </w:r>
          <w:r>
            <w:rPr>
              <w:rFonts w:ascii="Times New Roman" w:hAnsi="Times New Roman" w:eastAsia="楷体" w:cs="Times New Roman"/>
              <w:color w:val="000000" w:themeColor="text1"/>
              <w:sz w:val="30"/>
              <w:szCs w:val="30"/>
            </w:rPr>
            <w:t>（二）创新招商引资模式，推动项目建设提质增效</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_Toc15297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47</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5471B74E">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"_Toc9090" </w:instrText>
          </w:r>
          <w:r>
            <w:fldChar w:fldCharType="separate"/>
          </w:r>
          <w:r>
            <w:rPr>
              <w:rFonts w:ascii="Times New Roman" w:hAnsi="Times New Roman" w:eastAsia="楷体" w:cs="Times New Roman"/>
              <w:color w:val="000000" w:themeColor="text1"/>
              <w:sz w:val="30"/>
              <w:szCs w:val="30"/>
            </w:rPr>
            <w:t>（三）深化改革开放，创建一流发展环境</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_Toc9090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51</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18F8E4D3">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"_Toc21068" </w:instrText>
          </w:r>
          <w:r>
            <w:fldChar w:fldCharType="separate"/>
          </w:r>
          <w:r>
            <w:rPr>
              <w:rFonts w:ascii="Times New Roman" w:hAnsi="Times New Roman" w:eastAsia="楷体" w:cs="Times New Roman"/>
              <w:color w:val="000000" w:themeColor="text1"/>
              <w:sz w:val="30"/>
              <w:szCs w:val="30"/>
            </w:rPr>
            <w:t>（四）实施生态优先战略，推进绿色低碳发展</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_Toc21068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57</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4DB15726">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"_Toc30072" </w:instrText>
          </w:r>
          <w:r>
            <w:fldChar w:fldCharType="separate"/>
          </w:r>
          <w:r>
            <w:rPr>
              <w:rFonts w:ascii="Times New Roman" w:hAnsi="Times New Roman" w:eastAsia="楷体" w:cs="Times New Roman"/>
              <w:color w:val="000000" w:themeColor="text1"/>
              <w:sz w:val="30"/>
              <w:szCs w:val="30"/>
            </w:rPr>
            <w:t>（五）提升就业质量，建设活力红开</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_Toc30072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62</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114D654D">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"_Toc6214" </w:instrText>
          </w:r>
          <w:r>
            <w:fldChar w:fldCharType="separate"/>
          </w:r>
          <w:r>
            <w:rPr>
              <w:rFonts w:ascii="Times New Roman" w:hAnsi="Times New Roman" w:eastAsia="楷体" w:cs="Times New Roman"/>
              <w:color w:val="000000" w:themeColor="text1"/>
              <w:sz w:val="30"/>
              <w:szCs w:val="30"/>
            </w:rPr>
            <w:t>（六）完善基础设施，打造产城融合示范区</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_Toc6214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67</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0A971C8F">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"_Toc31254" </w:instrText>
          </w:r>
          <w:r>
            <w:fldChar w:fldCharType="separate"/>
          </w:r>
          <w:r>
            <w:rPr>
              <w:rFonts w:ascii="Times New Roman" w:hAnsi="Times New Roman" w:eastAsia="楷体" w:cs="Times New Roman"/>
              <w:color w:val="000000" w:themeColor="text1"/>
              <w:sz w:val="30"/>
              <w:szCs w:val="30"/>
            </w:rPr>
            <w:t>（七）筑牢安全底线，打造平安红开</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_Toc31254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70</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53BA176B">
          <w:pPr>
            <w:pStyle w:val="13"/>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"_Toc26730" </w:instrText>
          </w:r>
          <w:r>
            <w:fldChar w:fldCharType="separate"/>
          </w:r>
          <w:r>
            <w:rPr>
              <w:rFonts w:ascii="Times New Roman" w:hAnsi="Times New Roman" w:eastAsia="黑体" w:cs="Times New Roman"/>
              <w:color w:val="000000" w:themeColor="text1"/>
              <w:sz w:val="30"/>
              <w:szCs w:val="30"/>
            </w:rPr>
            <w:t>五、保障措施</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_Toc26730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72</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18497E6A">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"_Toc19158" </w:instrText>
          </w:r>
          <w:r>
            <w:fldChar w:fldCharType="separate"/>
          </w:r>
          <w:r>
            <w:rPr>
              <w:rFonts w:ascii="Times New Roman" w:hAnsi="Times New Roman" w:eastAsia="楷体" w:cs="Times New Roman"/>
              <w:color w:val="000000" w:themeColor="text1"/>
              <w:sz w:val="30"/>
              <w:szCs w:val="30"/>
            </w:rPr>
            <w:t>（一）加强党的全面领导</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_Toc19158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72</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73C9DA2E">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"_Toc8521" </w:instrText>
          </w:r>
          <w:r>
            <w:fldChar w:fldCharType="separate"/>
          </w:r>
          <w:r>
            <w:rPr>
              <w:rFonts w:ascii="Times New Roman" w:hAnsi="Times New Roman" w:eastAsia="楷体" w:cs="Times New Roman"/>
              <w:color w:val="000000" w:themeColor="text1"/>
              <w:sz w:val="30"/>
              <w:szCs w:val="30"/>
            </w:rPr>
            <w:t>（二）加强要素条件保障</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_Toc8521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72</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1784F036">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"_Toc21246" </w:instrText>
          </w:r>
          <w:r>
            <w:fldChar w:fldCharType="separate"/>
          </w:r>
          <w:r>
            <w:rPr>
              <w:rFonts w:ascii="Times New Roman" w:hAnsi="Times New Roman" w:eastAsia="楷体" w:cs="Times New Roman"/>
              <w:color w:val="000000" w:themeColor="text1"/>
              <w:sz w:val="30"/>
              <w:szCs w:val="30"/>
            </w:rPr>
            <w:t>（三）加强监督考核评价</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_Toc21246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73</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469C8511">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"_Toc21540" </w:instrText>
          </w:r>
          <w:r>
            <w:fldChar w:fldCharType="separate"/>
          </w:r>
          <w:r>
            <w:rPr>
              <w:rFonts w:ascii="Times New Roman" w:hAnsi="Times New Roman" w:eastAsia="楷体" w:cs="Times New Roman"/>
              <w:color w:val="000000" w:themeColor="text1"/>
              <w:sz w:val="30"/>
              <w:szCs w:val="30"/>
            </w:rPr>
            <w:t>（四）加强项目引领支撑</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_Toc21540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73</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22CCD600">
          <w:pPr>
            <w:pStyle w:val="6"/>
            <w:tabs>
              <w:tab w:val="right" w:leader="dot" w:pos="8301"/>
            </w:tabs>
            <w:spacing w:line="440" w:lineRule="exact"/>
            <w:rPr>
              <w:rFonts w:ascii="Times New Roman" w:hAnsi="Times New Roman" w:cs="Times New Roman"/>
              <w:color w:val="000000" w:themeColor="text1"/>
              <w:sz w:val="30"/>
              <w:szCs w:val="30"/>
            </w:rPr>
          </w:pPr>
          <w:r>
            <w:fldChar w:fldCharType="begin"/>
          </w:r>
          <w:r>
            <w:instrText xml:space="preserve"> HYPERLINK \l "_Toc11668" </w:instrText>
          </w:r>
          <w:r>
            <w:fldChar w:fldCharType="separate"/>
          </w:r>
          <w:r>
            <w:rPr>
              <w:rFonts w:ascii="Times New Roman" w:hAnsi="Times New Roman" w:eastAsia="楷体" w:cs="Times New Roman"/>
              <w:color w:val="000000" w:themeColor="text1"/>
              <w:sz w:val="30"/>
              <w:szCs w:val="30"/>
            </w:rPr>
            <w:t>（五）加强规划统筹实施</w:t>
          </w:r>
          <w:r>
            <w:rPr>
              <w:rFonts w:ascii="Times New Roman" w:hAnsi="Times New Roman" w:cs="Times New Roman"/>
              <w:color w:val="000000" w:themeColor="text1"/>
              <w:sz w:val="30"/>
              <w:szCs w:val="30"/>
            </w:rPr>
            <w:tab/>
          </w:r>
          <w:r>
            <w:rPr>
              <w:rFonts w:ascii="Times New Roman" w:hAnsi="Times New Roman" w:cs="Times New Roman"/>
              <w:color w:val="000000" w:themeColor="text1"/>
              <w:sz w:val="30"/>
              <w:szCs w:val="30"/>
            </w:rPr>
            <w:fldChar w:fldCharType="begin"/>
          </w:r>
          <w:r>
            <w:rPr>
              <w:rFonts w:ascii="Times New Roman" w:hAnsi="Times New Roman" w:cs="Times New Roman"/>
              <w:color w:val="000000" w:themeColor="text1"/>
              <w:sz w:val="30"/>
              <w:szCs w:val="30"/>
            </w:rPr>
            <w:instrText xml:space="preserve"> PAGEREF _Toc11668 \h </w:instrText>
          </w:r>
          <w:r>
            <w:rPr>
              <w:rFonts w:ascii="Times New Roman" w:hAnsi="Times New Roman" w:cs="Times New Roman"/>
              <w:color w:val="000000" w:themeColor="text1"/>
              <w:sz w:val="30"/>
              <w:szCs w:val="30"/>
            </w:rPr>
            <w:fldChar w:fldCharType="separate"/>
          </w:r>
          <w:r>
            <w:rPr>
              <w:rFonts w:ascii="Times New Roman" w:hAnsi="Times New Roman" w:cs="Times New Roman"/>
              <w:color w:val="000000" w:themeColor="text1"/>
              <w:sz w:val="30"/>
              <w:szCs w:val="30"/>
            </w:rPr>
            <w:t>74</w:t>
          </w:r>
          <w:r>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rPr>
            <w:fldChar w:fldCharType="end"/>
          </w:r>
        </w:p>
        <w:p w14:paraId="04378BCB">
          <w:pPr>
            <w:pStyle w:val="6"/>
            <w:tabs>
              <w:tab w:val="right" w:leader="dot" w:pos="9026"/>
            </w:tabs>
            <w:spacing w:line="440" w:lineRule="exact"/>
            <w:rPr>
              <w:rFonts w:ascii="Times New Roman" w:hAnsi="Times New Roman" w:cs="Times New Roman"/>
              <w:color w:val="000000" w:themeColor="text1"/>
              <w:sz w:val="32"/>
              <w:szCs w:val="32"/>
            </w:rPr>
          </w:pPr>
          <w:r>
            <w:rPr>
              <w:rFonts w:ascii="Times New Roman" w:hAnsi="Times New Roman" w:cs="Times New Roman"/>
              <w:color w:val="000000" w:themeColor="text1"/>
              <w:sz w:val="30"/>
              <w:szCs w:val="30"/>
            </w:rPr>
            <w:fldChar w:fldCharType="end"/>
          </w:r>
        </w:p>
      </w:sdtContent>
    </w:sdt>
    <w:p w14:paraId="45DEA9E7">
      <w:pPr>
        <w:spacing w:beforeLines="50" w:afterLines="50" w:line="480" w:lineRule="exact"/>
        <w:jc w:val="center"/>
        <w:outlineLvl w:val="0"/>
        <w:rPr>
          <w:rFonts w:ascii="Times New Roman" w:hAnsi="Times New Roman" w:eastAsia="黑体" w:cs="Times New Roman"/>
          <w:b/>
          <w:bCs/>
          <w:color w:val="000000" w:themeColor="text1"/>
          <w:sz w:val="32"/>
          <w:szCs w:val="40"/>
        </w:rPr>
        <w:sectPr>
          <w:pgSz w:w="11907" w:h="16840"/>
          <w:pgMar w:top="1440" w:right="1803" w:bottom="1440" w:left="1803" w:header="851" w:footer="992" w:gutter="0"/>
          <w:pgNumType w:start="1"/>
          <w:cols w:space="0" w:num="1"/>
          <w:docGrid w:type="linesAndChars" w:linePitch="319" w:charSpace="0"/>
        </w:sectPr>
      </w:pPr>
    </w:p>
    <w:p w14:paraId="048C44FE">
      <w:pPr>
        <w:ind w:firstLine="640" w:firstLineChars="200"/>
        <w:rPr>
          <w:rFonts w:ascii="Times New Roman" w:hAnsi="Times New Roman" w:eastAsia="仿宋_GB2312" w:cs="Times New Roman"/>
          <w:color w:val="000000" w:themeColor="text1"/>
          <w:sz w:val="32"/>
          <w:szCs w:val="32"/>
        </w:rPr>
      </w:pPr>
      <w:bookmarkStart w:id="16" w:name="OLE_LINK4"/>
      <w:bookmarkStart w:id="17" w:name="OLE_LINK5"/>
      <w:r>
        <w:rPr>
          <w:rFonts w:ascii="Times New Roman" w:hAnsi="Times New Roman" w:eastAsia="仿宋_GB2312" w:cs="Times New Roman"/>
          <w:color w:val="000000" w:themeColor="text1"/>
          <w:sz w:val="32"/>
          <w:szCs w:val="32"/>
        </w:rPr>
        <w:t>“十五五”时期（2026-2030年）是我国基本实现社会主义现代</w:t>
      </w:r>
      <w:r>
        <w:rPr>
          <w:rFonts w:ascii="Times New Roman" w:hAnsi="Times New Roman" w:eastAsia="宋体" w:cs="Times New Roman"/>
          <w:color w:val="000000" w:themeColor="text1"/>
          <w:sz w:val="32"/>
          <w:szCs w:val="32"/>
        </w:rPr>
        <w:t>化</w:t>
      </w:r>
      <w:r>
        <w:rPr>
          <w:rFonts w:ascii="Times New Roman" w:hAnsi="Times New Roman" w:eastAsia="仿宋_GB2312" w:cs="Times New Roman"/>
          <w:color w:val="000000" w:themeColor="text1"/>
          <w:sz w:val="32"/>
          <w:szCs w:val="32"/>
        </w:rPr>
        <w:t>夯实基础、全面发力的关键时期，是吉林省实现高质量发展明显进位、全面振兴取得新突破的攻坚时期，</w:t>
      </w:r>
      <w:bookmarkEnd w:id="16"/>
      <w:bookmarkEnd w:id="17"/>
      <w:r>
        <w:rPr>
          <w:rFonts w:ascii="Times New Roman" w:hAnsi="Times New Roman" w:eastAsia="仿宋_GB2312" w:cs="Times New Roman"/>
          <w:color w:val="000000" w:themeColor="text1"/>
          <w:sz w:val="32"/>
          <w:szCs w:val="32"/>
        </w:rPr>
        <w:t>是</w:t>
      </w:r>
      <w:r>
        <w:rPr>
          <w:rFonts w:ascii="Times New Roman" w:hAnsi="Times New Roman" w:eastAsia="仿宋_GB2312" w:cs="Times New Roman"/>
          <w:bCs/>
          <w:color w:val="000000" w:themeColor="text1"/>
          <w:sz w:val="32"/>
          <w:szCs w:val="32"/>
        </w:rPr>
        <w:t>四平市深入贯彻习近平总书记视察吉林视察四平重要讲话重要指示精神，抢抓机遇、奋起直追，实现赶超跨越的关键五年</w:t>
      </w:r>
      <w:r>
        <w:rPr>
          <w:rFonts w:ascii="Times New Roman" w:hAnsi="Times New Roman" w:eastAsia="仿宋_GB2312" w:cs="Times New Roman"/>
          <w:color w:val="000000" w:themeColor="text1"/>
          <w:sz w:val="32"/>
          <w:szCs w:val="32"/>
        </w:rPr>
        <w:t>，也是四平市红嘴经济技术开发区（以下简称红开区）全面深化改革创新，</w:t>
      </w:r>
      <w:r>
        <w:rPr>
          <w:rFonts w:ascii="Times New Roman" w:hAnsi="Times New Roman" w:eastAsia="仿宋_GB2312" w:cs="Times New Roman"/>
          <w:bCs/>
          <w:color w:val="000000" w:themeColor="text1"/>
          <w:sz w:val="32"/>
          <w:szCs w:val="32"/>
        </w:rPr>
        <w:t>艰苦奋斗、</w:t>
      </w:r>
      <w:r>
        <w:rPr>
          <w:rFonts w:ascii="Times New Roman" w:hAnsi="Times New Roman" w:eastAsia="仿宋_GB2312" w:cs="Times New Roman"/>
          <w:color w:val="000000" w:themeColor="text1"/>
          <w:sz w:val="32"/>
          <w:szCs w:val="32"/>
        </w:rPr>
        <w:t>锐意进取，打造新时代高质量发展引领区的关键五年。</w:t>
      </w:r>
    </w:p>
    <w:p w14:paraId="67F53B56">
      <w:pPr>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color w:val="000000" w:themeColor="text1"/>
          <w:sz w:val="32"/>
          <w:szCs w:val="32"/>
        </w:rPr>
        <w:t>根据“习近平对国家级经济技术开发区工作作出重要指示，强调不断激发创新活力和内生动力以高水平对外开放促进深层次改革高质量发展”精神，按照省里开发区高质量发展部署，结合四平市实际，特制定本规划，主要阐明“十五五”时期红开区经济社会发展的主要目标、重点任务和重大举措，是</w:t>
      </w:r>
      <w:r>
        <w:rPr>
          <w:rFonts w:ascii="Times New Roman" w:hAnsi="Times New Roman" w:eastAsia="仿宋_GB2312" w:cs="Times New Roman"/>
          <w:bCs/>
          <w:color w:val="000000" w:themeColor="text1"/>
          <w:sz w:val="32"/>
          <w:szCs w:val="32"/>
        </w:rPr>
        <w:t>未来五年红开区实现高质量发展的行动指南。</w:t>
      </w:r>
    </w:p>
    <w:p w14:paraId="62ACAD92">
      <w:pPr>
        <w:spacing w:beforeLines="50" w:afterLines="50"/>
        <w:ind w:firstLine="640" w:firstLineChars="200"/>
        <w:outlineLvl w:val="0"/>
        <w:rPr>
          <w:rFonts w:ascii="Times New Roman" w:hAnsi="Times New Roman" w:eastAsia="黑体" w:cs="Times New Roman"/>
          <w:color w:val="000000" w:themeColor="text1"/>
          <w:sz w:val="32"/>
          <w:szCs w:val="32"/>
        </w:rPr>
      </w:pPr>
      <w:bookmarkStart w:id="18" w:name="_Toc28684"/>
      <w:r>
        <w:rPr>
          <w:rFonts w:ascii="Times New Roman" w:hAnsi="Times New Roman" w:eastAsia="黑体" w:cs="Times New Roman"/>
          <w:bCs/>
          <w:color w:val="000000" w:themeColor="text1"/>
          <w:sz w:val="32"/>
          <w:szCs w:val="40"/>
        </w:rPr>
        <w:t>一、发展基础</w:t>
      </w:r>
      <w:bookmarkEnd w:id="18"/>
    </w:p>
    <w:p w14:paraId="3A0E457C">
      <w:pPr>
        <w:spacing w:beforeLines="50" w:afterLines="50"/>
        <w:ind w:firstLine="640" w:firstLineChars="200"/>
        <w:outlineLvl w:val="1"/>
        <w:rPr>
          <w:rFonts w:ascii="Times New Roman" w:hAnsi="Times New Roman" w:eastAsia="楷体" w:cs="Times New Roman"/>
          <w:color w:val="000000" w:themeColor="text1"/>
          <w:sz w:val="32"/>
          <w:szCs w:val="32"/>
        </w:rPr>
      </w:pPr>
      <w:bookmarkStart w:id="19" w:name="_Toc22725"/>
      <w:r>
        <w:rPr>
          <w:rFonts w:ascii="Times New Roman" w:hAnsi="Times New Roman" w:eastAsia="楷体" w:cs="Times New Roman"/>
          <w:color w:val="000000" w:themeColor="text1"/>
          <w:sz w:val="32"/>
          <w:szCs w:val="32"/>
        </w:rPr>
        <w:t>（一）“十四五”时期取得的主要成绩</w:t>
      </w:r>
      <w:bookmarkEnd w:id="19"/>
    </w:p>
    <w:p w14:paraId="1B34AE12">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十四五”以来，在市委、市政府的正确领导下，在市人大、市政协的监督支持下，红开区深入贯彻习近平总书记视察吉林视察四平的重要指示精神，全面落实省委省政府战略部署，认真落实市委“1288”总体工作思路，以推动高质量发展为主题，以供给侧结构性改革为主线，系统推进重点领域实现新突破，全方位建成以农机装备、热工装备为特色的先进装备制造业集聚区。经过开发区上下共同努力，</w:t>
      </w:r>
      <w:r>
        <w:rPr>
          <w:rFonts w:ascii="Times New Roman" w:hAnsi="Times New Roman" w:eastAsia="仿宋_GB2312" w:cs="Times New Roman"/>
          <w:color w:val="000000" w:themeColor="text1"/>
          <w:sz w:val="32"/>
          <w:szCs w:val="32"/>
        </w:rPr>
        <w:t>在2024年全省13家国家级开发区考核中，位列第5位，实现三年连续进位，创省考排名历史最</w:t>
      </w:r>
      <w:r>
        <w:rPr>
          <w:rFonts w:ascii="Times New Roman" w:hAnsi="Times New Roman" w:eastAsia="仿宋" w:cs="Times New Roman"/>
          <w:color w:val="000000" w:themeColor="text1"/>
          <w:sz w:val="32"/>
          <w:szCs w:val="32"/>
        </w:rPr>
        <w:t>佳</w:t>
      </w:r>
      <w:r>
        <w:rPr>
          <w:rFonts w:ascii="Times New Roman" w:hAnsi="Times New Roman" w:eastAsia="仿宋_GB2312" w:cs="Times New Roman"/>
          <w:color w:val="000000" w:themeColor="text1"/>
          <w:sz w:val="32"/>
          <w:szCs w:val="32"/>
        </w:rPr>
        <w:t>。总体上看，</w:t>
      </w:r>
      <w:r>
        <w:rPr>
          <w:rFonts w:ascii="Times New Roman" w:hAnsi="Times New Roman" w:eastAsia="仿宋_GB2312" w:cs="Times New Roman"/>
          <w:color w:val="000000" w:themeColor="text1"/>
          <w:sz w:val="32"/>
          <w:szCs w:val="40"/>
        </w:rPr>
        <w:t>“十四五”规划提出的主要目标任务进展顺利，基本达到了发展预期，经济实力明显增强，产业竞争优势更加突出，项目建设成效显著，对外开放水平稳步提升，为红开区打造全市高质量发展“新增长极”奠定坚实基础。</w:t>
      </w:r>
    </w:p>
    <w:p w14:paraId="0E0D0D9E">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经济发展</w:t>
      </w:r>
      <w:r>
        <w:rPr>
          <w:rFonts w:ascii="Times New Roman" w:hAnsi="Times New Roman" w:eastAsia="仿宋" w:cs="Times New Roman"/>
          <w:b/>
          <w:bCs/>
          <w:color w:val="000000" w:themeColor="text1"/>
          <w:sz w:val="32"/>
          <w:szCs w:val="32"/>
        </w:rPr>
        <w:t>迈</w:t>
      </w:r>
      <w:r>
        <w:rPr>
          <w:rFonts w:ascii="Times New Roman" w:hAnsi="Times New Roman" w:eastAsia="仿宋_GB2312" w:cs="Times New Roman"/>
          <w:b/>
          <w:bCs/>
          <w:color w:val="000000" w:themeColor="text1"/>
          <w:sz w:val="32"/>
          <w:szCs w:val="32"/>
        </w:rPr>
        <w:t>上新台阶。</w:t>
      </w:r>
      <w:r>
        <w:rPr>
          <w:rFonts w:ascii="Times New Roman" w:hAnsi="Times New Roman" w:eastAsia="仿宋_GB2312" w:cs="Times New Roman"/>
          <w:color w:val="000000" w:themeColor="text1"/>
          <w:sz w:val="32"/>
          <w:szCs w:val="32"/>
        </w:rPr>
        <w:t>经济总量持续增长，截止到2024年末，开发区地区生产总值（GDP）完成84.1亿元，同比增长11.4%。公共预算地方级财政收入达到4.8亿元，预计期末可以完成规划指标；固定资产投资完成5.9亿元，预计期末可以完成规划指标；2025年预计园区生产总值达到91亿元，公共预算地方级财政收入达到5.3亿元，固定资产投资达到6.35亿元，各项数值完成预期目标，为“十五五”发展打下良好的基础。</w:t>
      </w:r>
    </w:p>
    <w:p w14:paraId="456AAB83">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产业升级取得新成效。</w:t>
      </w:r>
      <w:r>
        <w:rPr>
          <w:rFonts w:ascii="Times New Roman" w:hAnsi="Times New Roman" w:eastAsia="仿宋_GB2312" w:cs="Times New Roman"/>
          <w:color w:val="000000" w:themeColor="text1"/>
          <w:sz w:val="32"/>
          <w:szCs w:val="32"/>
        </w:rPr>
        <w:t>红开区坚持把发展经济的着力点放在实体经济上，全力构建支持全区发展的现代化产业体系，已形成特色装备制造、新型材料、绿色农产品深加工三大主导产业。重点跟踪农机动力机械、农机装备及配套、高端装备制造等行业龙头企业战略布局和投资方向，积极开展发达地区产业转移对接招引和承接工作，围绕主导产业的“补链、延链、强链”，有针对性地进行招大引强，在重大项目引进上实现新突破。“十四五”时期，红开区落地开工项目共计62个，总投资94.907亿元。2025年预计规上工业企业主营业务收入达到100亿元，规上工业增加值达到46亿元，土地开发利用率达到80%，各方面指标实现新提升。</w:t>
      </w:r>
    </w:p>
    <w:p w14:paraId="7E696833">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科技创新</w:t>
      </w:r>
      <w:r>
        <w:rPr>
          <w:rFonts w:ascii="Times New Roman" w:hAnsi="Times New Roman" w:eastAsia="仿宋" w:cs="Times New Roman"/>
          <w:b/>
          <w:bCs/>
          <w:color w:val="000000" w:themeColor="text1"/>
          <w:sz w:val="32"/>
          <w:szCs w:val="32"/>
        </w:rPr>
        <w:t>呈</w:t>
      </w:r>
      <w:r>
        <w:rPr>
          <w:rFonts w:ascii="Times New Roman" w:hAnsi="Times New Roman" w:eastAsia="仿宋_GB2312" w:cs="Times New Roman"/>
          <w:b/>
          <w:bCs/>
          <w:color w:val="000000" w:themeColor="text1"/>
          <w:sz w:val="32"/>
          <w:szCs w:val="32"/>
        </w:rPr>
        <w:t>现新气象。</w:t>
      </w:r>
      <w:r>
        <w:rPr>
          <w:rFonts w:ascii="Times New Roman" w:hAnsi="Times New Roman" w:eastAsia="仿宋_GB2312" w:cs="Times New Roman"/>
          <w:color w:val="000000" w:themeColor="text1"/>
          <w:sz w:val="32"/>
          <w:szCs w:val="32"/>
        </w:rPr>
        <w:t>红开区坚持创新驱动发展，形成了以“两中心一园区一试点”为特色的“211”创新服务平台。“两中心”即换热器国检中心和艾斯克国家级禽类屠宰技术研发中心。“一园区”即四平红嘴大学科技园，由吉林师范大学与红开区共同建设，集孵化、投资和运营管理服务三位一体的省级大学科技园。“一试点”即农业机械研发制造推广应用一体化试点。2022年吉林省凭借产业优势成功列入全国6个试点之一，红开区作为试点的主要承载区，每年均可为企业争取资金支持，用于支持企业发展壮大。从指标完成情况来看，预计2025年末，开发区规模以上企业R&amp;D经费占营业收入比重达到0.7%，省级以上技术研发平台数量10家，高新技术企业数量20家，孵化器、众创空间1家，多数指标已完成“十四五”指标要求。</w:t>
      </w:r>
    </w:p>
    <w:p w14:paraId="776835F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开放合作实现新突破。</w:t>
      </w:r>
      <w:r>
        <w:rPr>
          <w:rFonts w:ascii="Times New Roman" w:hAnsi="Times New Roman" w:eastAsia="仿宋_GB2312" w:cs="Times New Roman"/>
          <w:color w:val="000000" w:themeColor="text1"/>
          <w:sz w:val="32"/>
          <w:szCs w:val="32"/>
        </w:rPr>
        <w:t>红开区深入推进对外开放，在利用外资与外贸进出口领域实现较大突破。利用外资起步快速发展，2022年成功引进外企纳斯达注资15万美元，实现利用外资“破冰”，2023年推动外资企业境外增资879.41万美元，利用外资额占全市90%，彻底扭转了多年来外资利用的不利局面。外贸进出口水平显著提升，2021—2022年外贸进出口额分别达8153万元、9214万元。尽管2023年受外部环境影响回落至4760万元，但2024年迅速回升，全年外贸进出口总额达26000万元，不仅创历史新高，更实现了四平地区外贸总额半数以上的占比。同时，红开区主动融入和服务“吉浙对口合作”“长平一体化”“吉西南承接产业转移示范区”“六市一体化合作”等战略合作格局，依托农机、换热器等产业优势，在京津冀、长三角等地区开展招商引资推介活动，全力推进换热器、农机、汽车零部件等项目签约落地。红开区外向经济的长足发展，成为拉动区域内对外开放的核心力量。</w:t>
      </w:r>
    </w:p>
    <w:p w14:paraId="51521A53">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改革试验推向新领域。</w:t>
      </w:r>
      <w:bookmarkStart w:id="20" w:name="OLE_LINK3"/>
      <w:r>
        <w:rPr>
          <w:rFonts w:ascii="Times New Roman" w:hAnsi="Times New Roman" w:eastAsia="仿宋_GB2312" w:cs="Times New Roman"/>
          <w:color w:val="000000" w:themeColor="text1"/>
          <w:sz w:val="32"/>
          <w:szCs w:val="32"/>
        </w:rPr>
        <w:t>红开区抢抓开发区改革机遇，实行大部制管理模式，设置投资促进局、项目服务局、企业服务局等内设机构，从项目招商、项目落地、项目达产见效，实现分阶段、全链条、无缝对接服务，特别是针对国家级开发区考核中的短板弱项，设立外资外贸促进局和科学技术促进局，从而进一步提升工作效能。改革后，机构精减率达35%，经济职能部门占比70%。推行“管委会+平台公司”市场化运营模式，整合优质资产组建融资平台，通过担保质</w:t>
      </w:r>
      <w:r>
        <w:rPr>
          <w:rFonts w:ascii="Times New Roman" w:hAnsi="Times New Roman" w:eastAsia="仿宋" w:cs="Times New Roman"/>
          <w:color w:val="000000" w:themeColor="text1"/>
          <w:sz w:val="32"/>
          <w:szCs w:val="32"/>
        </w:rPr>
        <w:t>押</w:t>
      </w:r>
      <w:r>
        <w:rPr>
          <w:rFonts w:ascii="Times New Roman" w:hAnsi="Times New Roman" w:eastAsia="仿宋_GB2312" w:cs="Times New Roman"/>
          <w:color w:val="000000" w:themeColor="text1"/>
          <w:sz w:val="32"/>
          <w:szCs w:val="32"/>
        </w:rPr>
        <w:t>盘活资产超20亿元，以“资本招商”参股重点项目，实现“资产换资本”良性循环。深化管理机制创新，实行全员聘任、绩效考评、末位</w:t>
      </w:r>
      <w:r>
        <w:rPr>
          <w:rFonts w:ascii="Times New Roman" w:hAnsi="Times New Roman" w:eastAsia="仿宋" w:cs="Times New Roman"/>
          <w:color w:val="000000" w:themeColor="text1"/>
          <w:sz w:val="32"/>
          <w:szCs w:val="32"/>
        </w:rPr>
        <w:t>淘汰</w:t>
      </w:r>
      <w:r>
        <w:rPr>
          <w:rFonts w:ascii="Times New Roman" w:hAnsi="Times New Roman" w:eastAsia="仿宋_GB2312" w:cs="Times New Roman"/>
          <w:color w:val="000000" w:themeColor="text1"/>
          <w:sz w:val="32"/>
          <w:szCs w:val="32"/>
        </w:rPr>
        <w:t>，80%人员下沉招商一线，绩效薪酬</w:t>
      </w:r>
      <w:r>
        <w:rPr>
          <w:rFonts w:ascii="Times New Roman" w:hAnsi="Times New Roman" w:eastAsia="仿宋" w:cs="Times New Roman"/>
          <w:color w:val="000000" w:themeColor="text1"/>
          <w:sz w:val="32"/>
          <w:szCs w:val="32"/>
        </w:rPr>
        <w:t>差距</w:t>
      </w:r>
      <w:r>
        <w:rPr>
          <w:rFonts w:ascii="Times New Roman" w:hAnsi="Times New Roman" w:eastAsia="仿宋_GB2312" w:cs="Times New Roman"/>
          <w:color w:val="000000" w:themeColor="text1"/>
          <w:sz w:val="32"/>
          <w:szCs w:val="32"/>
        </w:rPr>
        <w:t>拉大3倍以上，破解行政化顽疾。</w:t>
      </w:r>
      <w:bookmarkEnd w:id="20"/>
    </w:p>
    <w:p w14:paraId="797D539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产城融合达到新水平。</w:t>
      </w:r>
      <w:r>
        <w:rPr>
          <w:rFonts w:ascii="Times New Roman" w:hAnsi="Times New Roman" w:eastAsia="仿宋_GB2312" w:cs="Times New Roman"/>
          <w:color w:val="000000" w:themeColor="text1"/>
          <w:sz w:val="32"/>
          <w:szCs w:val="40"/>
        </w:rPr>
        <w:t>红开区通过共建园区模式实现产业链延伸与资源互补，</w:t>
      </w:r>
      <w:r>
        <w:rPr>
          <w:rFonts w:ascii="Times New Roman" w:hAnsi="Times New Roman" w:eastAsia="仿宋_GB2312" w:cs="Times New Roman"/>
          <w:color w:val="000000" w:themeColor="text1"/>
          <w:sz w:val="32"/>
          <w:szCs w:val="32"/>
        </w:rPr>
        <w:t>推动产业升级与城市功能协同发展，</w:t>
      </w:r>
      <w:r>
        <w:rPr>
          <w:rFonts w:ascii="Times New Roman" w:hAnsi="Times New Roman" w:eastAsia="仿宋_GB2312" w:cs="Times New Roman"/>
          <w:color w:val="000000" w:themeColor="text1"/>
          <w:sz w:val="32"/>
          <w:szCs w:val="40"/>
        </w:rPr>
        <w:t>形成</w:t>
      </w:r>
      <w:r>
        <w:rPr>
          <w:rFonts w:ascii="Times New Roman" w:hAnsi="Times New Roman" w:eastAsia="仿宋_GB2312" w:cs="Times New Roman"/>
          <w:color w:val="000000" w:themeColor="text1"/>
          <w:sz w:val="32"/>
          <w:szCs w:val="32"/>
        </w:rPr>
        <w:t>“以产聚人、以城促产”</w:t>
      </w:r>
      <w:r>
        <w:rPr>
          <w:rFonts w:ascii="Times New Roman" w:hAnsi="Times New Roman" w:eastAsia="仿宋_GB2312" w:cs="Times New Roman"/>
          <w:color w:val="000000" w:themeColor="text1"/>
          <w:sz w:val="32"/>
          <w:szCs w:val="40"/>
        </w:rPr>
        <w:t>区域联动发展格局。通过产业扩张、配套完善与产城融合，成为四平及周边地区重要就业承载地，并通过居住配套提升增强人口吸引力。</w:t>
      </w:r>
      <w:r>
        <w:rPr>
          <w:rFonts w:ascii="Times New Roman" w:hAnsi="Times New Roman" w:eastAsia="仿宋_GB2312" w:cs="Times New Roman"/>
          <w:color w:val="000000" w:themeColor="text1"/>
          <w:sz w:val="32"/>
          <w:szCs w:val="32"/>
        </w:rPr>
        <w:t>“十四五”期间，合作共建园区5个，新增居民小区5万平方米，为居民生产生活带来便利。</w:t>
      </w:r>
    </w:p>
    <w:p w14:paraId="4A7AA36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绿色发展彰显新作为。</w:t>
      </w:r>
      <w:r>
        <w:rPr>
          <w:rFonts w:ascii="Times New Roman" w:hAnsi="Times New Roman" w:eastAsia="仿宋_GB2312" w:cs="Times New Roman"/>
          <w:color w:val="000000" w:themeColor="text1"/>
          <w:sz w:val="32"/>
          <w:szCs w:val="32"/>
        </w:rPr>
        <w:t>红开区持续深入推进蓝天、碧水、净土保卫战，强化生态环境基础设施建设，提高生态环境监测执法效能，筑牢生态环境安全基础。强化能耗水耗管控，紧盯重点行业、重点企业、重点项目，引导鼓励企业调整产品结构，加快节能技术改造，特别是对辖区内能耗、水耗的大户企业实施有效监管。预计2025年末，红开区规模以上企业综合能源消费量为847979.78吨标准煤，工业污水无害化处理率达到100%。</w:t>
      </w:r>
    </w:p>
    <w:p w14:paraId="6E123486">
      <w:pPr>
        <w:jc w:val="center"/>
        <w:rPr>
          <w:rFonts w:ascii="Times New Roman" w:hAnsi="Times New Roman" w:cs="Times New Roman"/>
          <w:color w:val="000000" w:themeColor="text1"/>
          <w:sz w:val="28"/>
          <w:szCs w:val="36"/>
        </w:rPr>
      </w:pPr>
      <w:r>
        <w:rPr>
          <w:rFonts w:ascii="Times New Roman" w:hAnsi="Times New Roman" w:cs="Times New Roman"/>
          <w:color w:val="000000" w:themeColor="text1"/>
          <w:sz w:val="28"/>
          <w:szCs w:val="36"/>
        </w:rPr>
        <w:t>表1-1 “十四五”《产业规划》主要指标完成情况表</w:t>
      </w:r>
    </w:p>
    <w:tbl>
      <w:tblPr>
        <w:tblStyle w:val="18"/>
        <w:tblW w:w="9400" w:type="dxa"/>
        <w:tblInd w:w="-224" w:type="dxa"/>
        <w:tblLayout w:type="fixed"/>
        <w:tblCellMar>
          <w:top w:w="0" w:type="dxa"/>
          <w:left w:w="108" w:type="dxa"/>
          <w:bottom w:w="0" w:type="dxa"/>
          <w:right w:w="108" w:type="dxa"/>
        </w:tblCellMar>
      </w:tblPr>
      <w:tblGrid>
        <w:gridCol w:w="680"/>
        <w:gridCol w:w="710"/>
        <w:gridCol w:w="1759"/>
        <w:gridCol w:w="951"/>
        <w:gridCol w:w="743"/>
        <w:gridCol w:w="1056"/>
        <w:gridCol w:w="948"/>
        <w:gridCol w:w="1248"/>
        <w:gridCol w:w="1305"/>
      </w:tblGrid>
      <w:tr w14:paraId="644365CA">
        <w:tblPrEx>
          <w:tblCellMar>
            <w:top w:w="0" w:type="dxa"/>
            <w:left w:w="108" w:type="dxa"/>
            <w:bottom w:w="0" w:type="dxa"/>
            <w:right w:w="108"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B0A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序号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543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指标分类</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DB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指标名称</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960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属性</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FA8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84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2020年基期数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2EC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2025年目标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587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2024年末</w:t>
            </w:r>
            <w:r>
              <w:rPr>
                <w:rFonts w:ascii="Times New Roman" w:hAnsi="Times New Roman" w:eastAsia="宋体" w:cs="Times New Roman"/>
                <w:color w:val="000000" w:themeColor="text1"/>
                <w:kern w:val="0"/>
                <w:sz w:val="22"/>
                <w:szCs w:val="22"/>
              </w:rPr>
              <w:br w:type="textWrapping"/>
            </w:r>
            <w:r>
              <w:rPr>
                <w:rFonts w:ascii="Times New Roman" w:hAnsi="Times New Roman" w:eastAsia="宋体" w:cs="Times New Roman"/>
                <w:color w:val="000000" w:themeColor="text1"/>
                <w:kern w:val="0"/>
                <w:sz w:val="22"/>
                <w:szCs w:val="22"/>
              </w:rPr>
              <w:t>实际数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41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2025年末</w:t>
            </w:r>
            <w:r>
              <w:rPr>
                <w:rFonts w:ascii="Times New Roman" w:hAnsi="Times New Roman" w:eastAsia="宋体" w:cs="Times New Roman"/>
                <w:color w:val="000000" w:themeColor="text1"/>
                <w:kern w:val="0"/>
                <w:sz w:val="22"/>
                <w:szCs w:val="22"/>
              </w:rPr>
              <w:br w:type="textWrapping"/>
            </w:r>
            <w:r>
              <w:rPr>
                <w:rFonts w:ascii="Times New Roman" w:hAnsi="Times New Roman" w:eastAsia="宋体" w:cs="Times New Roman"/>
                <w:color w:val="000000" w:themeColor="text1"/>
                <w:kern w:val="0"/>
                <w:sz w:val="22"/>
                <w:szCs w:val="22"/>
              </w:rPr>
              <w:t>预计数</w:t>
            </w:r>
          </w:p>
        </w:tc>
      </w:tr>
      <w:tr w14:paraId="53164C26">
        <w:tblPrEx>
          <w:tblCellMar>
            <w:top w:w="0" w:type="dxa"/>
            <w:left w:w="108" w:type="dxa"/>
            <w:bottom w:w="0" w:type="dxa"/>
            <w:right w:w="108" w:type="dxa"/>
          </w:tblCellMar>
        </w:tblPrEx>
        <w:trPr>
          <w:trHeight w:val="86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59B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9DA9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创新发展</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A1F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规模以上企业R&amp;D经费占营业收入比重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F22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045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171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1.43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EFF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0.7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971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C02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0.7</w:t>
            </w:r>
          </w:p>
        </w:tc>
      </w:tr>
      <w:tr w14:paraId="03475DA0">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F0A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88BE">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78C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孵化器、众创空间数量</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F6B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8BBB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家</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8DE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6126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EF7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53E6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w:t>
            </w:r>
          </w:p>
        </w:tc>
      </w:tr>
      <w:tr w14:paraId="6B74D309">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BA7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43E03">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EB8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高新技术企业数</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4C7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78C6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家</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08BA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238D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14</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B62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AE4B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w:t>
            </w:r>
          </w:p>
        </w:tc>
      </w:tr>
      <w:tr w14:paraId="53FAF6CE">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E93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AB01">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C6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省级及以上研发机构数</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C60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F2D4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家</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F3F3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2394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98D8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58EC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w:t>
            </w:r>
          </w:p>
        </w:tc>
      </w:tr>
      <w:tr w14:paraId="2F12A2FF">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C1B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F80A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经济实力</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82F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园区生产总值</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865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4050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亿元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3BDE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72.8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7B97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91</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3B9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84.1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FAA6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91</w:t>
            </w:r>
          </w:p>
        </w:tc>
      </w:tr>
      <w:tr w14:paraId="091E5288">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A8A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E1CBA">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609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工业总产值</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184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A91A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亿元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07BA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119.4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8F58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107.5</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0B0C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111.37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710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107.5</w:t>
            </w:r>
          </w:p>
        </w:tc>
      </w:tr>
      <w:tr w14:paraId="73C0F6F3">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F5E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0B77">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3E6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公共预算地方级财政收入</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5C0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36D2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亿元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D1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121C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5.3</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9D15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686A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5.3</w:t>
            </w:r>
          </w:p>
        </w:tc>
      </w:tr>
      <w:tr w14:paraId="2E5312E8">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134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7B38">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0E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固定资产投资</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A9F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F53F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亿元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F269">
            <w:pPr>
              <w:widowControl/>
              <w:jc w:val="center"/>
              <w:textAlignment w:val="center"/>
              <w:rPr>
                <w:rFonts w:ascii="Times New Roman" w:hAnsi="Times New Roman" w:eastAsia="宋体" w:cs="Times New Roman"/>
                <w:color w:val="000000" w:themeColor="text1"/>
                <w:sz w:val="22"/>
                <w:szCs w:val="22"/>
              </w:rPr>
            </w:pPr>
            <w:bookmarkStart w:id="21" w:name="OLE_LINK2"/>
            <w:bookmarkStart w:id="22" w:name="OLE_LINK1"/>
            <w:r>
              <w:rPr>
                <w:rFonts w:ascii="Times New Roman" w:hAnsi="Times New Roman" w:eastAsia="宋体" w:cs="Times New Roman"/>
                <w:color w:val="000000" w:themeColor="text1"/>
                <w:kern w:val="0"/>
                <w:sz w:val="22"/>
                <w:szCs w:val="22"/>
              </w:rPr>
              <w:t>/</w:t>
            </w:r>
            <w:bookmarkEnd w:id="21"/>
            <w:bookmarkEnd w:id="22"/>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9294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6.2</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DEA6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363D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6.35</w:t>
            </w:r>
          </w:p>
        </w:tc>
      </w:tr>
      <w:tr w14:paraId="20E7538C">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83C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EDFF">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342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规上工业企业主营业务收入</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C2B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37E4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D801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1043369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FBB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991800</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0944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1094211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14A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1000000</w:t>
            </w:r>
          </w:p>
        </w:tc>
      </w:tr>
      <w:tr w14:paraId="6419E06E">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08A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9D65">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7BA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规模以上工业增加值</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28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6CBC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667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364000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B936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455000</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A714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385962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89D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460000</w:t>
            </w:r>
          </w:p>
        </w:tc>
      </w:tr>
      <w:tr w14:paraId="31B41445">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3B8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4DEF">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4B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土地开发利用率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962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42C4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8348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65.18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506F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21FB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76.24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3D0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80</w:t>
            </w:r>
          </w:p>
        </w:tc>
      </w:tr>
      <w:tr w14:paraId="42B4522B">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A96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12</w:t>
            </w:r>
          </w:p>
        </w:tc>
        <w:tc>
          <w:tcPr>
            <w:tcW w:w="710" w:type="dxa"/>
            <w:vMerge w:val="restart"/>
            <w:tcBorders>
              <w:top w:val="single" w:color="000000" w:sz="4" w:space="0"/>
              <w:left w:val="single" w:color="000000" w:sz="4" w:space="0"/>
              <w:bottom w:val="nil"/>
              <w:right w:val="single" w:color="000000" w:sz="4" w:space="0"/>
            </w:tcBorders>
            <w:shd w:val="clear" w:color="auto" w:fill="auto"/>
            <w:vAlign w:val="center"/>
          </w:tcPr>
          <w:p w14:paraId="7D59064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区域带动</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CD0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合作共建的园区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DA3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89B9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461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4181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43C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4874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w:t>
            </w:r>
          </w:p>
        </w:tc>
      </w:tr>
      <w:tr w14:paraId="2C614BB7">
        <w:tblPrEx>
          <w:tblCellMar>
            <w:top w:w="0" w:type="dxa"/>
            <w:left w:w="108" w:type="dxa"/>
            <w:bottom w:w="0" w:type="dxa"/>
            <w:right w:w="108" w:type="dxa"/>
          </w:tblCellMar>
        </w:tblPrEx>
        <w:trPr>
          <w:trHeight w:val="6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FCC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13</w:t>
            </w:r>
          </w:p>
        </w:tc>
        <w:tc>
          <w:tcPr>
            <w:tcW w:w="710" w:type="dxa"/>
            <w:vMerge w:val="continue"/>
            <w:tcBorders>
              <w:top w:val="single" w:color="000000" w:sz="4" w:space="0"/>
              <w:left w:val="single" w:color="000000" w:sz="4" w:space="0"/>
              <w:bottom w:val="nil"/>
              <w:right w:val="single" w:color="000000" w:sz="4" w:space="0"/>
            </w:tcBorders>
            <w:shd w:val="clear" w:color="auto" w:fill="auto"/>
            <w:vAlign w:val="center"/>
          </w:tcPr>
          <w:p w14:paraId="3B811680">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2F7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城镇新增就业人数</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2B5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0E92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7F33C">
            <w:pPr>
              <w:jc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96C4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700</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A755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630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AE08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700</w:t>
            </w:r>
          </w:p>
        </w:tc>
      </w:tr>
      <w:tr w14:paraId="3D4A76A4">
        <w:tblPrEx>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9E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14</w:t>
            </w:r>
          </w:p>
        </w:tc>
        <w:tc>
          <w:tcPr>
            <w:tcW w:w="710" w:type="dxa"/>
            <w:vMerge w:val="continue"/>
            <w:tcBorders>
              <w:top w:val="single" w:color="000000" w:sz="4" w:space="0"/>
              <w:left w:val="single" w:color="000000" w:sz="4" w:space="0"/>
              <w:bottom w:val="nil"/>
              <w:right w:val="single" w:color="000000" w:sz="4" w:space="0"/>
            </w:tcBorders>
            <w:shd w:val="clear" w:color="auto" w:fill="auto"/>
            <w:vAlign w:val="center"/>
          </w:tcPr>
          <w:p w14:paraId="1468900A">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4D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新建居民小区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DD6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384D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万平方米</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254A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41.26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8528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3</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36B2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2.56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458F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w:t>
            </w:r>
          </w:p>
        </w:tc>
      </w:tr>
      <w:tr w14:paraId="004FB601">
        <w:tblPrEx>
          <w:tblCellMar>
            <w:top w:w="0" w:type="dxa"/>
            <w:left w:w="108" w:type="dxa"/>
            <w:bottom w:w="0" w:type="dxa"/>
            <w:right w:w="108" w:type="dxa"/>
          </w:tblCellMar>
        </w:tblPrEx>
        <w:trPr>
          <w:trHeight w:val="4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E77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15</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64D2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对外开放</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40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累计实现进出口总额</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D1C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426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38B5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25829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EFF8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30000</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669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48127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BB33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80000</w:t>
            </w:r>
          </w:p>
        </w:tc>
      </w:tr>
      <w:tr w14:paraId="10E73127">
        <w:tblPrEx>
          <w:tblCellMar>
            <w:top w:w="0" w:type="dxa"/>
            <w:left w:w="108" w:type="dxa"/>
            <w:bottom w:w="0" w:type="dxa"/>
            <w:right w:w="108" w:type="dxa"/>
          </w:tblCellMar>
        </w:tblPrEx>
        <w:trPr>
          <w:trHeight w:val="4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00D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4604">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62B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累计利用外资总额</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D8B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0985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万美元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9165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494C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900</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B14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894.41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BD24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894.41</w:t>
            </w:r>
          </w:p>
        </w:tc>
      </w:tr>
      <w:tr w14:paraId="389A642C">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498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17</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5363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生态环境</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420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规模以上企业综合能源消费量</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4E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E238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吨标准煤</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44D1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836042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2D6F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850000</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DB42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874205.96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FA4A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847979.78</w:t>
            </w:r>
          </w:p>
        </w:tc>
      </w:tr>
      <w:tr w14:paraId="24106796">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580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87F6">
            <w:pPr>
              <w:jc w:val="center"/>
              <w:rPr>
                <w:rFonts w:ascii="Times New Roman" w:hAnsi="Times New Roman" w:eastAsia="宋体" w:cs="Times New Roman"/>
                <w:color w:val="000000" w:themeColor="text1"/>
                <w:sz w:val="22"/>
                <w:szCs w:val="22"/>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443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工业污水无害化处理率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73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约束性</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ADB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BD2C">
            <w:pPr>
              <w:jc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09C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064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230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100</w:t>
            </w:r>
          </w:p>
        </w:tc>
      </w:tr>
    </w:tbl>
    <w:p w14:paraId="6BB0C18F">
      <w:pPr>
        <w:spacing w:beforeLines="50" w:afterLines="50"/>
        <w:ind w:firstLine="640" w:firstLineChars="200"/>
        <w:outlineLvl w:val="1"/>
        <w:rPr>
          <w:rFonts w:ascii="Times New Roman" w:hAnsi="Times New Roman" w:eastAsia="楷体" w:cs="Times New Roman"/>
          <w:color w:val="000000" w:themeColor="text1"/>
          <w:sz w:val="32"/>
          <w:szCs w:val="32"/>
        </w:rPr>
      </w:pPr>
      <w:bookmarkStart w:id="23" w:name="_Toc6062"/>
      <w:r>
        <w:rPr>
          <w:rFonts w:ascii="Times New Roman" w:hAnsi="Times New Roman" w:eastAsia="楷体" w:cs="Times New Roman"/>
          <w:color w:val="000000" w:themeColor="text1"/>
          <w:sz w:val="32"/>
          <w:szCs w:val="32"/>
        </w:rPr>
        <w:t>（二）“十五五”时期发展环境</w:t>
      </w:r>
      <w:bookmarkEnd w:id="23"/>
    </w:p>
    <w:p w14:paraId="51C50545">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当前和今后一个时期，世界百年未有之大变局与中华民族伟大复兴战略全局相互交织、深度融合，吉林全面振兴发展持续加快，红开区发展处于重要战略机遇期，但机遇和挑战并存，且呈现出新的发展变化。</w:t>
      </w:r>
    </w:p>
    <w:p w14:paraId="4A9B151E">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发展机遇。一是粮食安全战略需求，为农机产业高端化发展带来战略机遇。</w:t>
      </w:r>
      <w:r>
        <w:rPr>
          <w:rFonts w:ascii="Times New Roman" w:hAnsi="Times New Roman" w:eastAsia="仿宋_GB2312" w:cs="Times New Roman"/>
          <w:color w:val="000000" w:themeColor="text1"/>
          <w:sz w:val="32"/>
          <w:szCs w:val="32"/>
        </w:rPr>
        <w:t>2025年2月，习近平总书记在听取吉林省委和省政府工作汇报时指出，吉林要以发展现代化大农业为主攻方向。在全球粮食安全战略背景下，黑土地保护上升为国家战略，东北作为粮食主产区，吉林省作为全国黑土地保护核心区域，高端农机装备市场潜力巨大，有利于推动红开区依托“中国黑土地保护农机产业创新示范基地”，聚焦免耕播种机、秸秆处理设备等细分领域，在特色化、智慧化农机装备开发上实现突破，在全国粮食安全以及吉林省粮食安全战略布局中发挥更为重要的作用。</w:t>
      </w:r>
      <w:r>
        <w:rPr>
          <w:rFonts w:ascii="Times New Roman" w:hAnsi="Times New Roman" w:eastAsia="仿宋_GB2312" w:cs="Times New Roman"/>
          <w:b/>
          <w:bCs/>
          <w:color w:val="000000" w:themeColor="text1"/>
          <w:sz w:val="32"/>
          <w:szCs w:val="32"/>
        </w:rPr>
        <w:t>二是创新型省份建设，为重点领域新质生产力培育提供人才和技术支撑。</w:t>
      </w:r>
      <w:r>
        <w:rPr>
          <w:rFonts w:ascii="Times New Roman" w:hAnsi="Times New Roman" w:eastAsia="仿宋_GB2312" w:cs="Times New Roman"/>
          <w:color w:val="000000" w:themeColor="text1"/>
          <w:sz w:val="32"/>
          <w:szCs w:val="32"/>
        </w:rPr>
        <w:t>“十四五”期间，吉林在东北率先获批建设创新型省份，深入实施创新驱动发展战略，强力政策支持和资金保障，推动形成一批代表新质生产力的创新平台、新型研发机构、科技成果以及创新人才，这将为红开区装备制造、新材料等产业迭代更新、高端发展，推动传统机械制造向智能装备（如工业机器人、高端数控机床）转型，在建设东北特色“绿色智造”示范区方面提供人才、技术等重要支撑。</w:t>
      </w:r>
      <w:r>
        <w:rPr>
          <w:rFonts w:ascii="Times New Roman" w:hAnsi="Times New Roman" w:eastAsia="仿宋_GB2312" w:cs="Times New Roman"/>
          <w:b/>
          <w:bCs/>
          <w:color w:val="000000" w:themeColor="text1"/>
          <w:sz w:val="32"/>
          <w:szCs w:val="32"/>
        </w:rPr>
        <w:t>三是长春现代化都市圈建设，为红开区多元化开放合作拓展空间。</w:t>
      </w:r>
      <w:r>
        <w:rPr>
          <w:rFonts w:ascii="Times New Roman" w:hAnsi="Times New Roman" w:eastAsia="仿宋_GB2312" w:cs="Times New Roman"/>
          <w:color w:val="000000" w:themeColor="text1"/>
          <w:sz w:val="32"/>
          <w:szCs w:val="32"/>
        </w:rPr>
        <w:t>长春现代化都市圈建设是吉林省实现高质量发展的核心引擎，其</w:t>
      </w:r>
      <w:r>
        <w:rPr>
          <w:rFonts w:ascii="Times New Roman" w:hAnsi="Times New Roman" w:eastAsia="仿宋_GB2312" w:cs="Times New Roman"/>
          <w:bCs/>
          <w:color w:val="000000" w:themeColor="text1"/>
          <w:sz w:val="32"/>
          <w:szCs w:val="32"/>
        </w:rPr>
        <w:t>核心是以创新驱动产业链升级，以开放引领带动区域协同发展，</w:t>
      </w:r>
      <w:r>
        <w:rPr>
          <w:rFonts w:ascii="Times New Roman" w:hAnsi="Times New Roman" w:eastAsia="仿宋_GB2312" w:cs="Times New Roman"/>
          <w:color w:val="000000" w:themeColor="text1"/>
          <w:sz w:val="32"/>
          <w:szCs w:val="32"/>
        </w:rPr>
        <w:t>红开区可依托长春汽车、装备制造等产业优势，深度融入长春现代化都市圈产业链，共建汽车零部件、农机装备等跨境供应链平台，承接一汽新能源配套产业转移，可有效拓展红开区未来的产业发展体系。同时有利于承接长春高校科研资源溢出，联合设立中试基地。</w:t>
      </w:r>
    </w:p>
    <w:p w14:paraId="718215B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面临挑战。一是国际局势复杂多变，使红开区未来优势产品扩大出口受限。</w:t>
      </w:r>
      <w:r>
        <w:rPr>
          <w:rFonts w:ascii="Times New Roman" w:hAnsi="Times New Roman" w:eastAsia="仿宋_GB2312" w:cs="Times New Roman"/>
          <w:color w:val="000000" w:themeColor="text1"/>
          <w:sz w:val="32"/>
          <w:szCs w:val="32"/>
        </w:rPr>
        <w:t>世界百年变局加速演进，世界变乱交织、动荡加剧，地缘冲突易发多发，国际经贸秩序遇到严峻挑战，导致红开区农机、换热设备等传统优势产品出口面临订单缩减风险，一旦国际物流或结算体系受阻，外贸产业链可能受到冲击。</w:t>
      </w:r>
      <w:r>
        <w:rPr>
          <w:rFonts w:ascii="Times New Roman" w:hAnsi="Times New Roman" w:eastAsia="仿宋_GB2312" w:cs="Times New Roman"/>
          <w:b/>
          <w:bCs/>
          <w:color w:val="000000" w:themeColor="text1"/>
          <w:sz w:val="32"/>
          <w:szCs w:val="32"/>
        </w:rPr>
        <w:t>二是国内产业结构调整，使红开区未来经济转型升级面临挑战。</w:t>
      </w:r>
      <w:r>
        <w:rPr>
          <w:rFonts w:ascii="Times New Roman" w:hAnsi="Times New Roman" w:eastAsia="仿宋_GB2312" w:cs="Times New Roman"/>
          <w:color w:val="000000" w:themeColor="text1"/>
          <w:sz w:val="32"/>
          <w:szCs w:val="32"/>
        </w:rPr>
        <w:t>国内发展环境正经历着深刻变化，宏观经济下行压力加大，内需增长仍显乏力，消费信心尚未完全修复，使红开区在项目建设、招商引资、市场开拓、稳定就业、人才引进等方面难度加大。</w:t>
      </w:r>
      <w:r>
        <w:rPr>
          <w:rFonts w:ascii="Times New Roman" w:hAnsi="Times New Roman" w:eastAsia="仿宋_GB2312" w:cs="Times New Roman"/>
          <w:b/>
          <w:bCs/>
          <w:color w:val="000000" w:themeColor="text1"/>
          <w:sz w:val="32"/>
          <w:szCs w:val="32"/>
        </w:rPr>
        <w:t>三是省内各类开发区资源竞争加剧，使红开区发展实现“提质增效”目标难度加大。</w:t>
      </w:r>
      <w:r>
        <w:rPr>
          <w:rFonts w:ascii="Times New Roman" w:hAnsi="Times New Roman" w:eastAsia="仿宋_GB2312" w:cs="Times New Roman"/>
          <w:color w:val="000000" w:themeColor="text1"/>
          <w:sz w:val="32"/>
          <w:szCs w:val="32"/>
        </w:rPr>
        <w:t>“十五五”时期，吉林省内开发区之间的竞争将日趋激烈，红开区将面临产业同质化、资源争夺、政策红利减弱等多重挑战，省内多家开发区主导产业集中在汽车配套、农产品加工、装备制造等领域，企业选址更倾向于基础设施更完善、配套更成熟的头部开发区，招商内卷竞争加剧；资源要素争夺中，长春、吉林市等城市的开发区在人才、资金、项目“</w:t>
      </w:r>
      <w:r>
        <w:rPr>
          <w:rFonts w:ascii="Times New Roman" w:hAnsi="Times New Roman" w:eastAsia="仿宋" w:cs="Times New Roman"/>
          <w:color w:val="000000" w:themeColor="text1"/>
          <w:sz w:val="32"/>
          <w:szCs w:val="32"/>
        </w:rPr>
        <w:t>虹</w:t>
      </w:r>
      <w:r>
        <w:rPr>
          <w:rFonts w:ascii="Times New Roman" w:hAnsi="Times New Roman" w:eastAsia="仿宋_GB2312" w:cs="Times New Roman"/>
          <w:color w:val="000000" w:themeColor="text1"/>
          <w:sz w:val="32"/>
          <w:szCs w:val="32"/>
        </w:rPr>
        <w:t>吸效应”强，头部开发区凭借品牌效应，更容易吸引大型央企、外企投资，省内财政更易向其倾斜，红开区在争取专项债、产业基金、人才、技术等方面难度加大。</w:t>
      </w:r>
    </w:p>
    <w:p w14:paraId="0290A34D">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综合研判，“十五五”时期，红开区面临的内外形势更加错综复杂，风险挑战更加严峻，但高质量发展仍具有多方面优势和条件，仍然处于重要战略机遇期。</w:t>
      </w:r>
    </w:p>
    <w:p w14:paraId="21D2F339">
      <w:pPr>
        <w:ind w:firstLine="640" w:firstLineChars="200"/>
        <w:outlineLvl w:val="0"/>
        <w:rPr>
          <w:rFonts w:ascii="Times New Roman" w:hAnsi="Times New Roman" w:eastAsia="黑体" w:cs="Times New Roman"/>
          <w:b/>
          <w:bCs/>
          <w:color w:val="000000" w:themeColor="text1"/>
          <w:sz w:val="32"/>
          <w:szCs w:val="40"/>
        </w:rPr>
      </w:pPr>
      <w:bookmarkStart w:id="24" w:name="_Toc8993"/>
      <w:r>
        <w:rPr>
          <w:rFonts w:ascii="Times New Roman" w:hAnsi="Times New Roman" w:eastAsia="黑体" w:cs="Times New Roman"/>
          <w:b/>
          <w:bCs/>
          <w:color w:val="000000" w:themeColor="text1"/>
          <w:sz w:val="32"/>
          <w:szCs w:val="40"/>
        </w:rPr>
        <w:t>二、总体要求</w:t>
      </w:r>
      <w:bookmarkEnd w:id="24"/>
    </w:p>
    <w:p w14:paraId="19D67C6A">
      <w:pPr>
        <w:spacing w:beforeLines="50" w:afterLines="50"/>
        <w:ind w:firstLine="640" w:firstLineChars="200"/>
        <w:outlineLvl w:val="1"/>
        <w:rPr>
          <w:rFonts w:ascii="Times New Roman" w:hAnsi="Times New Roman" w:eastAsia="楷体" w:cs="Times New Roman"/>
          <w:color w:val="000000" w:themeColor="text1"/>
          <w:sz w:val="32"/>
          <w:szCs w:val="32"/>
        </w:rPr>
      </w:pPr>
      <w:bookmarkStart w:id="25" w:name="_Toc19952"/>
      <w:r>
        <w:rPr>
          <w:rFonts w:ascii="Times New Roman" w:hAnsi="Times New Roman" w:eastAsia="楷体" w:cs="Times New Roman"/>
          <w:color w:val="000000" w:themeColor="text1"/>
          <w:sz w:val="32"/>
          <w:szCs w:val="32"/>
        </w:rPr>
        <w:t>（一）指导思想</w:t>
      </w:r>
      <w:bookmarkEnd w:id="25"/>
    </w:p>
    <w:p w14:paraId="50C425FB">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坚持以习近平新时代中国特色社会主义思想为指导，忠实践行习近平总书记视察吉林视察四平重要讲话重要指示精神，全面贯彻落实党的二十大和二十届历次全会精神，统筹推进“五位一体”总体布局，协调推进“四个全面”战略布局，贯彻落实省委省政府高质量发展战略部署，深入实施四平市“1288”总体发展思路，聚焦“创新引领、质效双优、开放赋能、绿色共进”总目标，以高质量发展为主题，以科技创新为第一动力，以改革开放为突破路径，以构建现代化产业体系为支撑，以培育发展新质生产力为关键，以人民共享为根本目的，坚持走新型工业化发展道路，推动新型材料产业、特色装备制造产业、绿色农产品深加工产业三大主导产业向高端化、智能化、绿色化方向发展，努力将红开区建设成为吉林省国家级开发区产业转型发展引领区、国家级换热器产业发展高地、东北特色专用农机产业高地、四平市新质生产力发展集聚地，主动融入长春现代化都市圈，强化长平协同联动、产业配套协作、科创资源共享、基础设施一体、公共服务同城，打造长春现代化都市圈南部重要增长极、四平高质量发展争先进位的经济增长引擎。</w:t>
      </w:r>
    </w:p>
    <w:p w14:paraId="7C7D9F0E">
      <w:pPr>
        <w:spacing w:beforeLines="50" w:afterLines="50"/>
        <w:ind w:firstLine="640" w:firstLineChars="200"/>
        <w:outlineLvl w:val="1"/>
        <w:rPr>
          <w:rFonts w:ascii="Times New Roman" w:hAnsi="Times New Roman" w:eastAsia="楷体" w:cs="Times New Roman"/>
          <w:color w:val="000000" w:themeColor="text1"/>
          <w:sz w:val="32"/>
          <w:szCs w:val="32"/>
        </w:rPr>
      </w:pPr>
      <w:bookmarkStart w:id="26" w:name="_Toc13567"/>
      <w:r>
        <w:rPr>
          <w:rFonts w:ascii="Times New Roman" w:hAnsi="Times New Roman" w:eastAsia="楷体" w:cs="Times New Roman"/>
          <w:color w:val="000000" w:themeColor="text1"/>
          <w:sz w:val="32"/>
          <w:szCs w:val="32"/>
        </w:rPr>
        <w:t>（二）基本原则</w:t>
      </w:r>
      <w:bookmarkEnd w:id="26"/>
    </w:p>
    <w:p w14:paraId="37577D9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——坚持创新引领，推动新型工业化。</w:t>
      </w:r>
      <w:r>
        <w:rPr>
          <w:rFonts w:ascii="Times New Roman" w:hAnsi="Times New Roman" w:eastAsia="仿宋_GB2312" w:cs="Times New Roman"/>
          <w:color w:val="000000" w:themeColor="text1"/>
          <w:sz w:val="32"/>
          <w:szCs w:val="32"/>
        </w:rPr>
        <w:t>以科技创新推动新型工业化，聚焦三大主导产业，推动关键核心技术攻关，推动企业“上云用数赋智”，建设智能工厂、数字化车间，加快传统产业转型升级、培育战略性新兴产业，逐步形成“科技驱动—产业升级—经济增长”的良性循环，打造区域创新高地。</w:t>
      </w:r>
    </w:p>
    <w:p w14:paraId="639E68FA">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——坚持改革开放，激发市场活力。</w:t>
      </w:r>
      <w:r>
        <w:rPr>
          <w:rFonts w:ascii="Times New Roman" w:hAnsi="Times New Roman" w:eastAsia="仿宋_GB2312" w:cs="Times New Roman"/>
          <w:color w:val="000000" w:themeColor="text1"/>
          <w:sz w:val="32"/>
          <w:szCs w:val="32"/>
        </w:rPr>
        <w:t>立足打造四平市改革开放高地，坚持小切口破题、大纵深推进，推进开发区管理体制改革，深化“放管服”改革；积极融入长春现代化都市圈，聚焦区域内重点产业瞄准长春、沈阳以及长三角、京津冀等区域，进行产业链靶向精准招商，形成“链主企业+配套企业”的产业生态圈，推动产业链协作、外贸市场拓展。</w:t>
      </w:r>
    </w:p>
    <w:p w14:paraId="64721E5A">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——坚持生态优先，推进绿色发展。</w:t>
      </w:r>
      <w:r>
        <w:rPr>
          <w:rFonts w:ascii="Times New Roman" w:hAnsi="Times New Roman" w:eastAsia="仿宋_GB2312" w:cs="Times New Roman"/>
          <w:color w:val="000000" w:themeColor="text1"/>
          <w:sz w:val="32"/>
          <w:szCs w:val="32"/>
        </w:rPr>
        <w:t>统筹经济发展与环境保护，推动产业绿色化转型，推广清洁生产、节能降碳技术，减少资源消耗；推动发展循环经济，推进农业废弃物资源化利用，打造低碳循环经济示范区，实现经济效益与生态效益双赢。</w:t>
      </w:r>
    </w:p>
    <w:p w14:paraId="405FA0A8">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——坚持项目为王，优化产业生态。</w:t>
      </w:r>
      <w:r>
        <w:rPr>
          <w:rFonts w:ascii="Times New Roman" w:hAnsi="Times New Roman" w:eastAsia="仿宋_GB2312" w:cs="Times New Roman"/>
          <w:color w:val="000000" w:themeColor="text1"/>
          <w:sz w:val="32"/>
          <w:szCs w:val="32"/>
        </w:rPr>
        <w:t>牢固树立“项目为王”理念，推动土地、资金、人才、数据等要素市场化改革，降低企业运营成本，提高全要素生产率；推进集约化用地，盘活闲置厂房和低效用地，推行“标准地”供应模式，提高土地利用效率；搭建银企对接平台，创新供应链金融、知识产权质押贷款等产品，缓解中小企业融资难题；推动工业互联网平台建设，促进企业数据共享，提高智能制造水平，打造生产成本低、要素优化配置的国家级开发区。</w:t>
      </w:r>
    </w:p>
    <w:p w14:paraId="65D1DB53">
      <w:pPr>
        <w:spacing w:beforeLines="50" w:afterLines="50"/>
        <w:ind w:firstLine="640" w:firstLineChars="200"/>
        <w:outlineLvl w:val="1"/>
        <w:rPr>
          <w:rFonts w:ascii="Times New Roman" w:hAnsi="Times New Roman" w:eastAsia="楷体" w:cs="Times New Roman"/>
          <w:color w:val="000000" w:themeColor="text1"/>
          <w:sz w:val="32"/>
          <w:szCs w:val="32"/>
        </w:rPr>
      </w:pPr>
      <w:bookmarkStart w:id="27" w:name="_Toc7313"/>
      <w:r>
        <w:rPr>
          <w:rFonts w:ascii="Times New Roman" w:hAnsi="Times New Roman" w:eastAsia="楷体" w:cs="Times New Roman"/>
          <w:color w:val="000000" w:themeColor="text1"/>
          <w:sz w:val="32"/>
          <w:szCs w:val="32"/>
        </w:rPr>
        <w:t>（三）发展目标</w:t>
      </w:r>
      <w:bookmarkEnd w:id="27"/>
    </w:p>
    <w:p w14:paraId="21FC83F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“十五五”期间，红开区将形成更多创新性、引领性发展成果，经济实力大幅度提升，产业集群效应逐步显现，努力在全省国家级开发区现代化建设新征程中走在前列。</w:t>
      </w:r>
    </w:p>
    <w:p w14:paraId="57F7C5C1">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——产业结构更加优化，建成现代产业体系标杆区。</w:t>
      </w:r>
      <w:r>
        <w:rPr>
          <w:rFonts w:ascii="Times New Roman" w:hAnsi="Times New Roman" w:eastAsia="仿宋_GB2312" w:cs="Times New Roman"/>
          <w:color w:val="000000" w:themeColor="text1"/>
          <w:sz w:val="32"/>
          <w:szCs w:val="32"/>
        </w:rPr>
        <w:t>主导产业持续发展壮大，新型材料产业、特色装备制造产业、绿色农产品深加工产业基础高级化、产业链现代化水平明显提升，数字经济和制造业智能化绿色化发展走在全市前列，以创新为引领和支撑的现代产业体系初步形成，综合竞争力显著增强。</w:t>
      </w:r>
    </w:p>
    <w:p w14:paraId="479B6D2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——内外循环更加畅通，建成开放型经济样板区。</w:t>
      </w:r>
      <w:r>
        <w:rPr>
          <w:rFonts w:ascii="Times New Roman" w:hAnsi="Times New Roman" w:eastAsia="仿宋_GB2312" w:cs="Times New Roman"/>
          <w:color w:val="000000" w:themeColor="text1"/>
          <w:sz w:val="32"/>
          <w:szCs w:val="32"/>
        </w:rPr>
        <w:t>稳外资、稳外贸取得重大成效，形成全市投资新高地，打造四平地区外资企业聚集区。争取外贸总量实现翻番，外贸电商平台类企业资源数量不断增长，与国有企业和商贸企业合资合作深入推进，引进国内外大型外贸平台类公司入驻，快速做大外贸进出口规模。</w:t>
      </w:r>
    </w:p>
    <w:p w14:paraId="1656D167">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——创新动力更加强劲，建成科技创新引领区。</w:t>
      </w:r>
      <w:r>
        <w:rPr>
          <w:rFonts w:ascii="Times New Roman" w:hAnsi="Times New Roman" w:eastAsia="仿宋_GB2312" w:cs="Times New Roman"/>
          <w:color w:val="000000" w:themeColor="text1"/>
          <w:sz w:val="32"/>
          <w:szCs w:val="32"/>
        </w:rPr>
        <w:t>区内企业自主创新能力显著增强，创新要素更加集聚，创新创业孵化链条更加完善，一批前沿领军企业和创新服务平台加速涌现。创新生态更加开放包容，创新人才和资源高度集聚，高新技术企业树标提质明显强化，基本建成“中小企业能办大事”先行区。</w:t>
      </w:r>
    </w:p>
    <w:p w14:paraId="1F54B793">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——营商环境持续优化，建成深化改革领跑区。</w:t>
      </w:r>
      <w:r>
        <w:rPr>
          <w:rFonts w:ascii="Times New Roman" w:hAnsi="Times New Roman" w:eastAsia="仿宋_GB2312" w:cs="Times New Roman"/>
          <w:color w:val="000000" w:themeColor="text1"/>
          <w:sz w:val="32"/>
          <w:szCs w:val="32"/>
        </w:rPr>
        <w:t>推动更深层次改革和更大力度先行先试，开发区与行政区体制机制有机融合，营商环境对标国内先进取得显著成效，创建国家层面营商环境相关试点，在要素市场化配置、知识产权综合改革试验、数字化建设、重大平台制度创新等重要领域和关键环节取得突破，形成一批创新型引领型标志型改革品牌。</w:t>
      </w:r>
    </w:p>
    <w:p w14:paraId="4669EC4A">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——产城融合程度更高，建成生态文明建设典范区。</w:t>
      </w:r>
      <w:r>
        <w:rPr>
          <w:rFonts w:ascii="Times New Roman" w:hAnsi="Times New Roman" w:eastAsia="仿宋_GB2312" w:cs="Times New Roman"/>
          <w:color w:val="000000" w:themeColor="text1"/>
          <w:sz w:val="32"/>
          <w:szCs w:val="32"/>
        </w:rPr>
        <w:t>园区基础设施、生活配套更加完善，园区综合承载能力全面提升。产业工人收入增长和经济增长、劳动报酬提高和劳动生产率提高保持同步。全领域、全地域、全过程、全方位生态文明建设持续加强，环境质量日臻改善，能源资源利用效率大幅提高，能源系统脱碳效果加速显现，污染物排放总量不断减少，绿色低碳生活方式成为社会公众自觉行动。</w:t>
      </w:r>
    </w:p>
    <w:p w14:paraId="355C8CDB">
      <w:pPr>
        <w:jc w:val="center"/>
        <w:rPr>
          <w:rFonts w:ascii="Times New Roman" w:hAnsi="Times New Roman" w:eastAsia="黑体" w:cs="Times New Roman"/>
          <w:color w:val="000000" w:themeColor="text1"/>
          <w:sz w:val="28"/>
          <w:szCs w:val="36"/>
        </w:rPr>
      </w:pPr>
      <w:r>
        <w:rPr>
          <w:rFonts w:ascii="Times New Roman" w:hAnsi="Times New Roman" w:eastAsia="黑体" w:cs="Times New Roman"/>
          <w:color w:val="000000" w:themeColor="text1"/>
          <w:sz w:val="28"/>
          <w:szCs w:val="36"/>
        </w:rPr>
        <w:t>表2-1 “十五五”时期经济发展主要指标表</w:t>
      </w:r>
    </w:p>
    <w:tbl>
      <w:tblPr>
        <w:tblStyle w:val="18"/>
        <w:tblW w:w="8670" w:type="dxa"/>
        <w:tblInd w:w="96" w:type="dxa"/>
        <w:tblLayout w:type="fixed"/>
        <w:tblCellMar>
          <w:top w:w="0" w:type="dxa"/>
          <w:left w:w="108" w:type="dxa"/>
          <w:bottom w:w="0" w:type="dxa"/>
          <w:right w:w="108" w:type="dxa"/>
        </w:tblCellMar>
      </w:tblPr>
      <w:tblGrid>
        <w:gridCol w:w="740"/>
        <w:gridCol w:w="750"/>
        <w:gridCol w:w="1795"/>
        <w:gridCol w:w="674"/>
        <w:gridCol w:w="1206"/>
        <w:gridCol w:w="1206"/>
        <w:gridCol w:w="1352"/>
        <w:gridCol w:w="947"/>
      </w:tblGrid>
      <w:tr w14:paraId="109A63E5">
        <w:tblPrEx>
          <w:tblCellMar>
            <w:top w:w="0" w:type="dxa"/>
            <w:left w:w="108" w:type="dxa"/>
            <w:bottom w:w="0" w:type="dxa"/>
            <w:right w:w="108" w:type="dxa"/>
          </w:tblCellMar>
        </w:tblPrEx>
        <w:trPr>
          <w:trHeight w:val="657" w:hRule="atLeast"/>
          <w:tblHeader/>
        </w:trPr>
        <w:tc>
          <w:tcPr>
            <w:tcW w:w="74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3B05B4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指标分类</w:t>
            </w:r>
          </w:p>
        </w:tc>
        <w:tc>
          <w:tcPr>
            <w:tcW w:w="75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75C7A4F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序号</w:t>
            </w:r>
          </w:p>
        </w:tc>
        <w:tc>
          <w:tcPr>
            <w:tcW w:w="179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F71AE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指标名称</w:t>
            </w:r>
          </w:p>
        </w:tc>
        <w:tc>
          <w:tcPr>
            <w:tcW w:w="67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07BB1C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单位</w:t>
            </w:r>
          </w:p>
        </w:tc>
        <w:tc>
          <w:tcPr>
            <w:tcW w:w="12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36D36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2024年末</w:t>
            </w:r>
          </w:p>
        </w:tc>
        <w:tc>
          <w:tcPr>
            <w:tcW w:w="12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CBCA50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2025年</w:t>
            </w:r>
            <w:r>
              <w:rPr>
                <w:rFonts w:ascii="Times New Roman" w:hAnsi="Times New Roman" w:eastAsia="宋体" w:cs="Times New Roman"/>
                <w:color w:val="000000" w:themeColor="text1"/>
                <w:kern w:val="0"/>
                <w:sz w:val="22"/>
                <w:szCs w:val="22"/>
              </w:rPr>
              <w:br w:type="textWrapping"/>
            </w:r>
            <w:r>
              <w:rPr>
                <w:rFonts w:ascii="Times New Roman" w:hAnsi="Times New Roman" w:eastAsia="宋体" w:cs="Times New Roman"/>
                <w:color w:val="000000" w:themeColor="text1"/>
                <w:kern w:val="0"/>
                <w:sz w:val="22"/>
                <w:szCs w:val="22"/>
              </w:rPr>
              <w:t>（基期年）</w:t>
            </w:r>
          </w:p>
        </w:tc>
        <w:tc>
          <w:tcPr>
            <w:tcW w:w="135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B6BCB5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2030年</w:t>
            </w:r>
            <w:r>
              <w:rPr>
                <w:rFonts w:ascii="Times New Roman" w:hAnsi="Times New Roman" w:eastAsia="宋体" w:cs="Times New Roman"/>
                <w:color w:val="000000" w:themeColor="text1"/>
                <w:kern w:val="0"/>
                <w:sz w:val="22"/>
                <w:szCs w:val="22"/>
              </w:rPr>
              <w:br w:type="textWrapping"/>
            </w:r>
            <w:r>
              <w:rPr>
                <w:rFonts w:ascii="Times New Roman" w:hAnsi="Times New Roman" w:eastAsia="宋体" w:cs="Times New Roman"/>
                <w:color w:val="000000" w:themeColor="text1"/>
                <w:kern w:val="0"/>
                <w:sz w:val="22"/>
                <w:szCs w:val="22"/>
              </w:rPr>
              <w:t>（目标年）</w:t>
            </w:r>
          </w:p>
        </w:tc>
        <w:tc>
          <w:tcPr>
            <w:tcW w:w="94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85489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属性</w:t>
            </w:r>
          </w:p>
        </w:tc>
      </w:tr>
      <w:tr w14:paraId="330DE081">
        <w:tblPrEx>
          <w:tblCellMar>
            <w:top w:w="0" w:type="dxa"/>
            <w:left w:w="108" w:type="dxa"/>
            <w:bottom w:w="0" w:type="dxa"/>
            <w:right w:w="108" w:type="dxa"/>
          </w:tblCellMar>
        </w:tblPrEx>
        <w:trPr>
          <w:trHeight w:val="576" w:hRule="atLeast"/>
        </w:trPr>
        <w:tc>
          <w:tcPr>
            <w:tcW w:w="740" w:type="dxa"/>
            <w:vMerge w:val="restart"/>
            <w:tcBorders>
              <w:top w:val="single" w:color="000000" w:sz="4" w:space="0"/>
              <w:left w:val="single" w:color="000000" w:sz="4" w:space="0"/>
              <w:right w:val="single" w:color="000000" w:sz="4" w:space="0"/>
            </w:tcBorders>
            <w:shd w:val="clear" w:color="auto" w:fill="auto"/>
            <w:vAlign w:val="center"/>
          </w:tcPr>
          <w:p w14:paraId="60A1E81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创新发展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00A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11C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规模以上企业R&amp;D经费占营业收入比重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338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45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0.5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4C7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0.7</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57D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863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306903BB">
        <w:tblPrEx>
          <w:tblCellMar>
            <w:top w:w="0" w:type="dxa"/>
            <w:left w:w="108" w:type="dxa"/>
            <w:bottom w:w="0" w:type="dxa"/>
            <w:right w:w="108" w:type="dxa"/>
          </w:tblCellMar>
        </w:tblPrEx>
        <w:trPr>
          <w:trHeight w:val="576" w:hRule="atLeast"/>
        </w:trPr>
        <w:tc>
          <w:tcPr>
            <w:tcW w:w="740" w:type="dxa"/>
            <w:vMerge w:val="continue"/>
            <w:tcBorders>
              <w:left w:val="single" w:color="000000" w:sz="4" w:space="0"/>
              <w:right w:val="single" w:color="000000" w:sz="4" w:space="0"/>
            </w:tcBorders>
            <w:shd w:val="clear" w:color="auto" w:fill="auto"/>
            <w:vAlign w:val="center"/>
          </w:tcPr>
          <w:p w14:paraId="0577685B">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283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F64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孵化器、众创空间数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6F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ADB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BEA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A67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C2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076D27AD">
        <w:tblPrEx>
          <w:tblCellMar>
            <w:top w:w="0" w:type="dxa"/>
            <w:left w:w="108" w:type="dxa"/>
            <w:bottom w:w="0" w:type="dxa"/>
            <w:right w:w="108" w:type="dxa"/>
          </w:tblCellMar>
        </w:tblPrEx>
        <w:trPr>
          <w:trHeight w:val="460" w:hRule="atLeast"/>
        </w:trPr>
        <w:tc>
          <w:tcPr>
            <w:tcW w:w="740" w:type="dxa"/>
            <w:vMerge w:val="continue"/>
            <w:tcBorders>
              <w:left w:val="single" w:color="000000" w:sz="4" w:space="0"/>
              <w:right w:val="single" w:color="000000" w:sz="4" w:space="0"/>
            </w:tcBorders>
            <w:shd w:val="clear" w:color="auto" w:fill="auto"/>
            <w:vAlign w:val="center"/>
          </w:tcPr>
          <w:p w14:paraId="6C9C8EA8">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82B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3</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EB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高新技术企业数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F1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39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877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77B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CCF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1EC95778">
        <w:tblPrEx>
          <w:tblCellMar>
            <w:top w:w="0" w:type="dxa"/>
            <w:left w:w="108" w:type="dxa"/>
            <w:bottom w:w="0" w:type="dxa"/>
            <w:right w:w="108" w:type="dxa"/>
          </w:tblCellMar>
        </w:tblPrEx>
        <w:trPr>
          <w:trHeight w:val="576" w:hRule="atLeast"/>
        </w:trPr>
        <w:tc>
          <w:tcPr>
            <w:tcW w:w="740" w:type="dxa"/>
            <w:vMerge w:val="continue"/>
            <w:tcBorders>
              <w:left w:val="single" w:color="000000" w:sz="4" w:space="0"/>
              <w:bottom w:val="single" w:color="000000" w:sz="4" w:space="0"/>
              <w:right w:val="single" w:color="000000" w:sz="4" w:space="0"/>
            </w:tcBorders>
            <w:shd w:val="clear" w:color="auto" w:fill="auto"/>
            <w:vAlign w:val="center"/>
          </w:tcPr>
          <w:p w14:paraId="2465BAEF">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A5A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D8A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省级及以上研发机构数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DC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B32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740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ECD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DAC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6D24EE6E">
        <w:tblPrEx>
          <w:tblCellMar>
            <w:top w:w="0" w:type="dxa"/>
            <w:left w:w="108" w:type="dxa"/>
            <w:bottom w:w="0" w:type="dxa"/>
            <w:right w:w="108" w:type="dxa"/>
          </w:tblCellMar>
        </w:tblPrEx>
        <w:trPr>
          <w:trHeight w:val="348" w:hRule="atLeast"/>
        </w:trPr>
        <w:tc>
          <w:tcPr>
            <w:tcW w:w="740" w:type="dxa"/>
            <w:vMerge w:val="restart"/>
            <w:tcBorders>
              <w:top w:val="single" w:color="000000" w:sz="4" w:space="0"/>
              <w:left w:val="single" w:color="000000" w:sz="4" w:space="0"/>
              <w:right w:val="single" w:color="000000" w:sz="4" w:space="0"/>
            </w:tcBorders>
            <w:shd w:val="clear" w:color="auto" w:fill="auto"/>
            <w:vAlign w:val="center"/>
          </w:tcPr>
          <w:p w14:paraId="00E3854C">
            <w:pPr>
              <w:jc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经济实力</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5E7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749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规上工业总产值</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709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亿元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5FB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111.37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DB3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107.5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D1AB">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145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F1B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71E55AC6">
        <w:tblPrEx>
          <w:tblCellMar>
            <w:top w:w="0" w:type="dxa"/>
            <w:left w:w="108" w:type="dxa"/>
            <w:bottom w:w="0" w:type="dxa"/>
            <w:right w:w="108" w:type="dxa"/>
          </w:tblCellMar>
        </w:tblPrEx>
        <w:trPr>
          <w:trHeight w:val="576" w:hRule="atLeast"/>
        </w:trPr>
        <w:tc>
          <w:tcPr>
            <w:tcW w:w="740" w:type="dxa"/>
            <w:vMerge w:val="continue"/>
            <w:tcBorders>
              <w:left w:val="single" w:color="000000" w:sz="4" w:space="0"/>
              <w:right w:val="single" w:color="000000" w:sz="4" w:space="0"/>
            </w:tcBorders>
            <w:shd w:val="clear" w:color="auto" w:fill="auto"/>
            <w:vAlign w:val="center"/>
          </w:tcPr>
          <w:p w14:paraId="13B6E71D">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804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3C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公共预算地方级财政收入</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118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亿元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63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32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4E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384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6B84B3FF">
        <w:tblPrEx>
          <w:tblCellMar>
            <w:top w:w="0" w:type="dxa"/>
            <w:left w:w="108" w:type="dxa"/>
            <w:bottom w:w="0" w:type="dxa"/>
            <w:right w:w="108" w:type="dxa"/>
          </w:tblCellMar>
        </w:tblPrEx>
        <w:trPr>
          <w:trHeight w:val="348" w:hRule="atLeast"/>
        </w:trPr>
        <w:tc>
          <w:tcPr>
            <w:tcW w:w="740" w:type="dxa"/>
            <w:vMerge w:val="continue"/>
            <w:tcBorders>
              <w:left w:val="single" w:color="000000" w:sz="4" w:space="0"/>
              <w:right w:val="single" w:color="000000" w:sz="4" w:space="0"/>
            </w:tcBorders>
            <w:shd w:val="clear" w:color="auto" w:fill="auto"/>
            <w:vAlign w:val="center"/>
          </w:tcPr>
          <w:p w14:paraId="022BA89A">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D3F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E1D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固定资产投资额</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83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亿元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99A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5.9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5BF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6.35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25D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AEE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00074EEA">
        <w:tblPrEx>
          <w:tblCellMar>
            <w:top w:w="0" w:type="dxa"/>
            <w:left w:w="108" w:type="dxa"/>
            <w:bottom w:w="0" w:type="dxa"/>
            <w:right w:w="108" w:type="dxa"/>
          </w:tblCellMar>
        </w:tblPrEx>
        <w:trPr>
          <w:trHeight w:val="576" w:hRule="atLeast"/>
        </w:trPr>
        <w:tc>
          <w:tcPr>
            <w:tcW w:w="740" w:type="dxa"/>
            <w:vMerge w:val="continue"/>
            <w:tcBorders>
              <w:left w:val="single" w:color="000000" w:sz="4" w:space="0"/>
              <w:right w:val="single" w:color="000000" w:sz="4" w:space="0"/>
            </w:tcBorders>
            <w:shd w:val="clear" w:color="auto" w:fill="auto"/>
            <w:vAlign w:val="center"/>
          </w:tcPr>
          <w:p w14:paraId="068D21E2">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1BE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9D98">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 xml:space="preserve">四上企业营业收入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447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74E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1403000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76C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1450000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E3ED">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1950000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4EC">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70753677">
        <w:tblPrEx>
          <w:tblCellMar>
            <w:top w:w="0" w:type="dxa"/>
            <w:left w:w="108" w:type="dxa"/>
            <w:bottom w:w="0" w:type="dxa"/>
            <w:right w:w="108" w:type="dxa"/>
          </w:tblCellMar>
        </w:tblPrEx>
        <w:trPr>
          <w:trHeight w:val="348" w:hRule="atLeast"/>
        </w:trPr>
        <w:tc>
          <w:tcPr>
            <w:tcW w:w="740" w:type="dxa"/>
            <w:vMerge w:val="continue"/>
            <w:tcBorders>
              <w:left w:val="single" w:color="000000" w:sz="4" w:space="0"/>
              <w:bottom w:val="single" w:color="000000" w:sz="4" w:space="0"/>
              <w:right w:val="single" w:color="000000" w:sz="4" w:space="0"/>
            </w:tcBorders>
            <w:shd w:val="clear" w:color="auto" w:fill="auto"/>
            <w:vAlign w:val="center"/>
          </w:tcPr>
          <w:p w14:paraId="67E0C7A4">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993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9</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C1D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土地开发利用率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0F6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5F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76.24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1FD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534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F8A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2C136F05">
        <w:tblPrEx>
          <w:tblCellMar>
            <w:top w:w="0" w:type="dxa"/>
            <w:left w:w="108" w:type="dxa"/>
            <w:bottom w:w="0" w:type="dxa"/>
            <w:right w:w="108" w:type="dxa"/>
          </w:tblCellMar>
        </w:tblPrEx>
        <w:trPr>
          <w:trHeight w:val="576"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3142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对外开放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818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40E2">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 xml:space="preserve">累计实现进出口总额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D4F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E40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48672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B30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80000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E49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150000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79F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6DFBBE16">
        <w:tblPrEx>
          <w:tblCellMar>
            <w:top w:w="0" w:type="dxa"/>
            <w:left w:w="108" w:type="dxa"/>
            <w:bottom w:w="0" w:type="dxa"/>
            <w:right w:w="108" w:type="dxa"/>
          </w:tblCellMar>
        </w:tblPrEx>
        <w:trPr>
          <w:trHeight w:val="576"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8514">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700A">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11</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FC5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 xml:space="preserve">累计利用外资总额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F44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万美元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11E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894.41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9DA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894.41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46A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1500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13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4FF2D108">
        <w:tblPrEx>
          <w:tblCellMar>
            <w:top w:w="0" w:type="dxa"/>
            <w:left w:w="108" w:type="dxa"/>
            <w:bottom w:w="0" w:type="dxa"/>
            <w:right w:w="108" w:type="dxa"/>
          </w:tblCellMar>
        </w:tblPrEx>
        <w:trPr>
          <w:trHeight w:val="576"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AF1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生态环境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35F3">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12</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DA77">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规模以上企业综合能源消费量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5301">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吨标准煤</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918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874205.96</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8A30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850000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75FE">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750000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994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预期性</w:t>
            </w:r>
          </w:p>
        </w:tc>
      </w:tr>
      <w:tr w14:paraId="0BFE6F6C">
        <w:tblPrEx>
          <w:tblCellMar>
            <w:top w:w="0" w:type="dxa"/>
            <w:left w:w="108" w:type="dxa"/>
            <w:bottom w:w="0" w:type="dxa"/>
            <w:right w:w="108" w:type="dxa"/>
          </w:tblCellMar>
        </w:tblPrEx>
        <w:trPr>
          <w:trHeight w:val="576"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2A90">
            <w:pPr>
              <w:jc w:val="center"/>
              <w:rPr>
                <w:rFonts w:ascii="Times New Roman" w:hAnsi="Times New Roman" w:eastAsia="宋体" w:cs="Times New Roman"/>
                <w:color w:val="000000" w:themeColor="text1"/>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CCA9">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13</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FF24">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工业污水无害化处理率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E9D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D30">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C8BF">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2B66">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F765">
            <w:pPr>
              <w:widowControl/>
              <w:jc w:val="center"/>
              <w:textAlignment w:val="center"/>
              <w:rPr>
                <w:rFonts w:ascii="Times New Roman" w:hAnsi="Times New Roman" w:eastAsia="宋体" w:cs="Times New Roman"/>
                <w:color w:val="000000" w:themeColor="text1"/>
                <w:sz w:val="22"/>
                <w:szCs w:val="22"/>
              </w:rPr>
            </w:pPr>
            <w:r>
              <w:rPr>
                <w:rFonts w:ascii="Times New Roman" w:hAnsi="Times New Roman" w:eastAsia="宋体" w:cs="Times New Roman"/>
                <w:color w:val="000000" w:themeColor="text1"/>
                <w:kern w:val="0"/>
                <w:sz w:val="22"/>
                <w:szCs w:val="22"/>
              </w:rPr>
              <w:t>约束性</w:t>
            </w:r>
          </w:p>
        </w:tc>
      </w:tr>
    </w:tbl>
    <w:p w14:paraId="355C0BA6">
      <w:pPr>
        <w:spacing w:beforeLines="50" w:afterLines="50"/>
        <w:ind w:firstLine="640" w:firstLineChars="200"/>
        <w:outlineLvl w:val="1"/>
        <w:rPr>
          <w:rFonts w:ascii="Times New Roman" w:hAnsi="Times New Roman" w:eastAsia="楷体" w:cs="Times New Roman"/>
          <w:color w:val="000000" w:themeColor="text1"/>
          <w:sz w:val="32"/>
          <w:szCs w:val="32"/>
        </w:rPr>
      </w:pPr>
      <w:bookmarkStart w:id="28" w:name="_Toc22031"/>
      <w:r>
        <w:rPr>
          <w:rFonts w:ascii="Times New Roman" w:hAnsi="Times New Roman" w:eastAsia="楷体" w:cs="Times New Roman"/>
          <w:color w:val="000000" w:themeColor="text1"/>
          <w:sz w:val="32"/>
          <w:szCs w:val="32"/>
        </w:rPr>
        <w:t>（四）发展定位</w:t>
      </w:r>
      <w:bookmarkEnd w:id="28"/>
    </w:p>
    <w:p w14:paraId="37A8273B">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——吉林省国家级开发区产业转型发展引领区。</w:t>
      </w:r>
      <w:r>
        <w:rPr>
          <w:rFonts w:ascii="Times New Roman" w:hAnsi="Times New Roman" w:eastAsia="仿宋_GB2312" w:cs="Times New Roman"/>
          <w:color w:val="000000" w:themeColor="text1"/>
          <w:sz w:val="32"/>
          <w:szCs w:val="32"/>
        </w:rPr>
        <w:t>立足自身优势，以“传统产业高端化、新兴产业集群化、数字经济规模化”为核心转型思路，通过技术赋能、机制创新、平台建设，围绕三大主导产业，推动特色装备制造智能化、新型材料绿色化、绿色农产品深加工集群化，在产业重构与集群升级方面形成更大优势；围绕创新平台搭建、数字技术融合、人才引进培育等方面，在产业转型升级支撑体系构建方面发挥引领作用；围绕基础设施升级、要素服务保障、体制机制改革、营商环境优化等方面，在产业转型生态方面形成经验，将红开区打造成为吉林省产业转型升级的标杆区，为全省开发区提供可复制、可推广的转型经验。</w:t>
      </w:r>
    </w:p>
    <w:p w14:paraId="48EED5F2">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——国家级换热器产业发展高地。</w:t>
      </w:r>
      <w:r>
        <w:rPr>
          <w:rFonts w:ascii="Times New Roman" w:hAnsi="Times New Roman" w:eastAsia="仿宋_GB2312" w:cs="Times New Roman"/>
          <w:color w:val="000000" w:themeColor="text1"/>
          <w:sz w:val="32"/>
          <w:szCs w:val="32"/>
        </w:rPr>
        <w:t>依托“中国换热器城”品牌，以“高端化、智能化、集群化”为核心发展思路，以“技术突破、数字赋能、集群协同”为发展路径，以巨元瀚洋、维克斯等为链主企业，围绕传统优势板式换热器，实施“强链”行动，发展高效节能、智能控制换热器；围绕高端换热器市场需求，实施“补链”行动，重点攻关高通量、可清洗板组式换热器技术；围绕提升本地配套水平，吸引配套企业入驻，深化与长春、吉林的“产学研用”闭环，实施“延链”行动，打造国内一流的换热器产业高地。</w:t>
      </w:r>
    </w:p>
    <w:p w14:paraId="5359D208">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——东北特色专用农机产业高地。</w:t>
      </w:r>
      <w:r>
        <w:rPr>
          <w:rFonts w:ascii="Times New Roman" w:hAnsi="Times New Roman" w:eastAsia="仿宋_GB2312" w:cs="Times New Roman"/>
          <w:color w:val="000000" w:themeColor="text1"/>
          <w:sz w:val="32"/>
          <w:szCs w:val="32"/>
        </w:rPr>
        <w:t>围绕黑土地保护和农业现代化需求，以智慧农机研发为突破口，研发免耕播种、秸秆处理等智能化专用农机，推广应用物联网、大数据等现代信息技术，对传统农机进行全方位、全链条改造升级，打造全国黑土地农机装备创新示范基地；围绕东北特色农业发展需求，力争在‌丘陵山地机械、‌设施农业装备、东北‌特色作物机械等方面实现突破，打造适合现代化大农业发展需要的全产业链协同应用、拓展东北专用特色农机创新策源地，推动“四平农机”从“技术跟跑”向“标准引领”跃升。</w:t>
      </w:r>
    </w:p>
    <w:p w14:paraId="61778E40">
      <w:pPr>
        <w:ind w:firstLine="640" w:firstLineChars="200"/>
        <w:rPr>
          <w:rFonts w:ascii="Times New Roman" w:hAnsi="Times New Roman" w:eastAsia="楷体" w:cs="Times New Roman"/>
          <w:color w:val="000000" w:themeColor="text1"/>
          <w:sz w:val="32"/>
          <w:szCs w:val="32"/>
        </w:rPr>
      </w:pPr>
      <w:r>
        <w:rPr>
          <w:rFonts w:ascii="Times New Roman" w:hAnsi="Times New Roman" w:eastAsia="仿宋_GB2312" w:cs="Times New Roman"/>
          <w:b/>
          <w:bCs/>
          <w:color w:val="000000" w:themeColor="text1"/>
          <w:sz w:val="32"/>
          <w:szCs w:val="32"/>
        </w:rPr>
        <w:t>——四平市新质生产力发展集聚地。</w:t>
      </w:r>
      <w:r>
        <w:rPr>
          <w:rFonts w:ascii="Times New Roman" w:hAnsi="Times New Roman" w:eastAsia="仿宋_GB2312" w:cs="Times New Roman"/>
          <w:color w:val="000000" w:themeColor="text1"/>
          <w:sz w:val="32"/>
          <w:szCs w:val="32"/>
        </w:rPr>
        <w:t>聚焦智能制造、数字科技领域，以打造创新创业特色载体为抓手，以孵化、引进、培育等为发展路径，重点推进算力中心产业基地项目，依托吉林省内高校、科研院所和科技服务资源集聚优势，重点服务新型材料、特色装备制造、绿色农产品深加工产业，加快推进科技创新资源向现实生产力转化，实现科技发展要素集聚，激发企业自主创新能力培育科技型企业，促进产学研合作，打造东北科技创新服务高地。</w:t>
      </w:r>
    </w:p>
    <w:p w14:paraId="6F7E69C3">
      <w:pPr>
        <w:spacing w:beforeLines="50" w:afterLines="50"/>
        <w:ind w:firstLine="640" w:firstLineChars="200"/>
        <w:outlineLvl w:val="1"/>
        <w:rPr>
          <w:rFonts w:ascii="Times New Roman" w:hAnsi="Times New Roman" w:eastAsia="楷体" w:cs="Times New Roman"/>
          <w:color w:val="000000" w:themeColor="text1"/>
          <w:sz w:val="32"/>
          <w:szCs w:val="32"/>
        </w:rPr>
      </w:pPr>
      <w:bookmarkStart w:id="29" w:name="_Toc17834"/>
      <w:r>
        <w:rPr>
          <w:rFonts w:ascii="Times New Roman" w:hAnsi="Times New Roman" w:eastAsia="楷体" w:cs="Times New Roman"/>
          <w:color w:val="000000" w:themeColor="text1"/>
          <w:sz w:val="32"/>
          <w:szCs w:val="32"/>
        </w:rPr>
        <w:t>（五）空间布局</w:t>
      </w:r>
      <w:bookmarkEnd w:id="29"/>
    </w:p>
    <w:p w14:paraId="1C4D721A">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以“协同、科创、人文、生态”理念为核心发展理念，持续优化红开空间发展布局，着力构建“三园区、两基地、一中心”的发展格局，努力实现创新功能、产业功能、城市功能的融合发展。</w:t>
      </w:r>
    </w:p>
    <w:p w14:paraId="5CB25920">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——“三园区”。</w:t>
      </w:r>
      <w:r>
        <w:rPr>
          <w:rFonts w:ascii="Times New Roman" w:hAnsi="Times New Roman" w:eastAsia="仿宋_GB2312" w:cs="Times New Roman"/>
          <w:color w:val="000000" w:themeColor="text1"/>
          <w:sz w:val="32"/>
          <w:szCs w:val="32"/>
        </w:rPr>
        <w:t>即新型材料产业园区、特色装备制造产业园区、绿色农产品深加工产业园区。</w:t>
      </w:r>
    </w:p>
    <w:p w14:paraId="431790D1">
      <w:pPr>
        <w:ind w:firstLine="640" w:firstLineChars="200"/>
        <w:rPr>
          <w:rFonts w:ascii="Times New Roman" w:hAnsi="Times New Roman" w:eastAsia="仿宋_GB2312" w:cs="Times New Roman"/>
          <w:color w:val="000000" w:themeColor="text1"/>
          <w:sz w:val="32"/>
          <w:szCs w:val="32"/>
          <w:highlight w:val="green"/>
        </w:rPr>
      </w:pPr>
      <w:r>
        <w:rPr>
          <w:rFonts w:ascii="Times New Roman" w:hAnsi="Times New Roman" w:eastAsia="仿宋_GB2312" w:cs="Times New Roman"/>
          <w:b/>
          <w:bCs/>
          <w:color w:val="000000" w:themeColor="text1"/>
          <w:sz w:val="32"/>
          <w:szCs w:val="32"/>
        </w:rPr>
        <w:t>新型材料产业园区：</w:t>
      </w:r>
      <w:r>
        <w:rPr>
          <w:rFonts w:ascii="Times New Roman" w:hAnsi="Times New Roman" w:eastAsia="仿宋_GB2312" w:cs="Times New Roman"/>
          <w:color w:val="000000" w:themeColor="text1"/>
          <w:sz w:val="32"/>
          <w:szCs w:val="32"/>
        </w:rPr>
        <w:t>以绿色建材（低碳混凝土、装配式构件等）为代表，主要发展建材类新型材料，位于红开区东北部，规划面积约0.57平方公里，可利用土地约0.3平方公里。</w:t>
      </w:r>
    </w:p>
    <w:p w14:paraId="3A87072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特色装备制造产业园区：</w:t>
      </w:r>
      <w:r>
        <w:rPr>
          <w:rFonts w:ascii="Times New Roman" w:hAnsi="Times New Roman" w:eastAsia="仿宋_GB2312" w:cs="Times New Roman"/>
          <w:color w:val="000000" w:themeColor="text1"/>
          <w:sz w:val="32"/>
          <w:szCs w:val="32"/>
        </w:rPr>
        <w:t>以农林牧渔专用机械制造、农机零部件、换热器零部件等通用零部件制造为代表，位于红开区核心区域，规划面积约4.01平方公里，可利用土地约1.08平方公里（含科研用地）。抢抓绿色发展机遇，推动特色装备制造产业园区创新打造为零碳园区。</w:t>
      </w:r>
    </w:p>
    <w:p w14:paraId="309C3B1F">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绿色农产品深加工产业园区：</w:t>
      </w:r>
      <w:r>
        <w:rPr>
          <w:rFonts w:ascii="Times New Roman" w:hAnsi="Times New Roman" w:eastAsia="仿宋_GB2312" w:cs="Times New Roman"/>
          <w:color w:val="000000" w:themeColor="text1"/>
          <w:sz w:val="32"/>
          <w:szCs w:val="32"/>
        </w:rPr>
        <w:t>依托东北粮食主产区优势，以中成药、健康饮品为代表，打造“从田间到餐桌”的健康食品产业集群。位于红开区西北部，规划面积约1.05平方公里，可利用土地约0.52平方公里。</w:t>
      </w:r>
    </w:p>
    <w:p w14:paraId="2C783E31">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——“两基地”。</w:t>
      </w:r>
      <w:r>
        <w:rPr>
          <w:rFonts w:ascii="Times New Roman" w:hAnsi="Times New Roman" w:eastAsia="仿宋_GB2312" w:cs="Times New Roman"/>
          <w:color w:val="000000" w:themeColor="text1"/>
          <w:sz w:val="32"/>
          <w:szCs w:val="32"/>
        </w:rPr>
        <w:t>即中国北方智慧农机研发创新基地、再生资源综合利用产业基地。</w:t>
      </w:r>
    </w:p>
    <w:p w14:paraId="5B59EB2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中国北方智慧农机研发创新基地：</w:t>
      </w:r>
      <w:r>
        <w:rPr>
          <w:rFonts w:ascii="Times New Roman" w:hAnsi="Times New Roman" w:eastAsia="仿宋_GB2312" w:cs="Times New Roman"/>
          <w:color w:val="000000" w:themeColor="text1"/>
          <w:sz w:val="32"/>
          <w:szCs w:val="32"/>
        </w:rPr>
        <w:t>强化智慧农机产业研发创新中心功能，聚焦农机核心技术研发，为上游零部件、中游整机制造提供技术支撑；推动研发平台与上下游企业建立成果转化机制，加速技术专利向实际生产力转化。位于红开区中心地带，规划面积约2.18平方公里</w:t>
      </w:r>
      <w:r>
        <w:rPr>
          <w:rFonts w:ascii="Times New Roman" w:hAnsi="Times New Roman" w:eastAsia="宋体" w:cs="Times New Roman"/>
          <w:color w:val="000000" w:themeColor="text1"/>
          <w:sz w:val="32"/>
          <w:szCs w:val="32"/>
        </w:rPr>
        <w:t>（</w:t>
      </w:r>
      <w:r>
        <w:rPr>
          <w:rFonts w:ascii="Times New Roman" w:hAnsi="Times New Roman" w:eastAsia="仿宋_GB2312" w:cs="Times New Roman"/>
          <w:color w:val="000000" w:themeColor="text1"/>
          <w:sz w:val="32"/>
          <w:szCs w:val="32"/>
        </w:rPr>
        <w:t>包含康平路南侧约0.65平方公里拓展区域</w:t>
      </w:r>
      <w:r>
        <w:rPr>
          <w:rFonts w:ascii="Times New Roman" w:hAnsi="Times New Roman" w:eastAsia="宋体" w:cs="Times New Roman"/>
          <w:color w:val="000000" w:themeColor="text1"/>
          <w:sz w:val="32"/>
          <w:szCs w:val="32"/>
        </w:rPr>
        <w:t>）</w:t>
      </w:r>
      <w:r>
        <w:rPr>
          <w:rFonts w:ascii="Times New Roman" w:hAnsi="Times New Roman" w:eastAsia="仿宋_GB2312" w:cs="Times New Roman"/>
          <w:color w:val="000000" w:themeColor="text1"/>
          <w:sz w:val="32"/>
          <w:szCs w:val="32"/>
        </w:rPr>
        <w:t>，可利用面积约为1.02平方公里。</w:t>
      </w:r>
    </w:p>
    <w:p w14:paraId="04DC7FB5">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再生资源综合利用产业基地：</w:t>
      </w:r>
      <w:r>
        <w:rPr>
          <w:rFonts w:ascii="Times New Roman" w:hAnsi="Times New Roman" w:eastAsia="仿宋_GB2312" w:cs="Times New Roman"/>
          <w:color w:val="000000" w:themeColor="text1"/>
          <w:sz w:val="32"/>
          <w:szCs w:val="32"/>
        </w:rPr>
        <w:t>围绕玉米秸秆深加工、城市矿产分类处置、贵重废弃资源再利用等方向，承接循环经济产业项目。位于红开区西部，规划面积约1.94平方公里，可利用土地约0.1平方公里。</w:t>
      </w:r>
    </w:p>
    <w:p w14:paraId="6D567E98">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——“一中心”。</w:t>
      </w:r>
      <w:r>
        <w:rPr>
          <w:rFonts w:ascii="Times New Roman" w:hAnsi="Times New Roman" w:eastAsia="仿宋_GB2312" w:cs="Times New Roman"/>
          <w:color w:val="000000" w:themeColor="text1"/>
          <w:sz w:val="32"/>
          <w:szCs w:val="32"/>
        </w:rPr>
        <w:t>即</w:t>
      </w:r>
      <w:r>
        <w:rPr>
          <w:rFonts w:ascii="Times New Roman" w:hAnsi="Times New Roman" w:eastAsia="仿宋_GB2312" w:cs="Times New Roman"/>
          <w:b/>
          <w:bCs/>
          <w:color w:val="000000" w:themeColor="text1"/>
          <w:sz w:val="32"/>
          <w:szCs w:val="32"/>
        </w:rPr>
        <w:t>算力中心</w:t>
      </w:r>
      <w:r>
        <w:rPr>
          <w:rFonts w:ascii="Times New Roman" w:hAnsi="Times New Roman" w:eastAsia="仿宋_GB2312" w:cs="Times New Roman"/>
          <w:color w:val="000000" w:themeColor="text1"/>
          <w:sz w:val="32"/>
          <w:szCs w:val="32"/>
        </w:rPr>
        <w:t>，紧扣“农业大数据+工业互联网”双主线，打造区域产业数字化赋能中枢，发展互联网接入及相关服务体系，位于红开区中北部，规划面积0.17平方公里。</w:t>
      </w:r>
    </w:p>
    <w:p w14:paraId="56A18E80">
      <w:pPr>
        <w:ind w:firstLine="640" w:firstLineChars="200"/>
        <w:outlineLvl w:val="0"/>
        <w:rPr>
          <w:rFonts w:ascii="Times New Roman" w:hAnsi="Times New Roman" w:eastAsia="黑体" w:cs="Times New Roman"/>
          <w:b/>
          <w:bCs/>
          <w:color w:val="000000" w:themeColor="text1"/>
          <w:sz w:val="32"/>
          <w:szCs w:val="40"/>
        </w:rPr>
      </w:pPr>
      <w:bookmarkStart w:id="30" w:name="_Toc7303"/>
      <w:r>
        <w:rPr>
          <w:rFonts w:ascii="Times New Roman" w:hAnsi="Times New Roman" w:eastAsia="黑体" w:cs="Times New Roman"/>
          <w:b/>
          <w:bCs/>
          <w:color w:val="000000" w:themeColor="text1"/>
          <w:sz w:val="32"/>
          <w:szCs w:val="40"/>
        </w:rPr>
        <w:t>三、产业体系</w:t>
      </w:r>
      <w:bookmarkEnd w:id="30"/>
    </w:p>
    <w:p w14:paraId="5563E6D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按照“集约发展、创新发展、高效发展、绿色发展”的总思路，聚焦做大做强产业规模、优化产业结构、完善产业链生态，促进产业转型升级、产业链式协同发展，构建“三大主导产业集群、两大创新基地、一个算力中心、四个生产性服务业组团”的3+2+1+4现代化产业体系。</w:t>
      </w:r>
    </w:p>
    <w:p w14:paraId="5287F13C">
      <w:pPr>
        <w:ind w:firstLine="640" w:firstLineChars="200"/>
        <w:outlineLvl w:val="1"/>
        <w:rPr>
          <w:rFonts w:ascii="Times New Roman" w:hAnsi="Times New Roman" w:eastAsia="楷体" w:cs="Times New Roman"/>
          <w:color w:val="000000" w:themeColor="text1"/>
          <w:sz w:val="32"/>
          <w:szCs w:val="32"/>
        </w:rPr>
      </w:pPr>
      <w:bookmarkStart w:id="31" w:name="_Toc30995"/>
      <w:r>
        <w:rPr>
          <w:rFonts w:ascii="Times New Roman" w:hAnsi="Times New Roman" w:eastAsia="楷体" w:cs="Times New Roman"/>
          <w:color w:val="000000" w:themeColor="text1"/>
          <w:sz w:val="32"/>
          <w:szCs w:val="32"/>
        </w:rPr>
        <w:t>（一）壮大升级三大主导产业</w:t>
      </w:r>
      <w:bookmarkEnd w:id="31"/>
    </w:p>
    <w:p w14:paraId="3C473ED7">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新型工业化为主攻方向，依托以绿色建材为代表的新型材料产业园区、以农林牧渔专用机械制造、农机零部件、换热器零部件等通用零部件制造为代表的特色装备制造产业园区、以中成药、健康饮品为代表的绿色农产品深加工产业园区，打造三大产业集群，做大高质量发展的物质支撑。</w:t>
      </w:r>
    </w:p>
    <w:p w14:paraId="417AADFB">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1.做大新型材料产业集群</w:t>
      </w:r>
    </w:p>
    <w:p w14:paraId="1D395E2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以红开区原有新型材料产业为基础，以数智化新型材料服务平台为引领，构建“上游原料保障—中游精深加工—下游多元应用”全产业链协同发展生态，打造特色鲜明、优势突出、协同高效的新型材料产业高地。</w:t>
      </w:r>
    </w:p>
    <w:p w14:paraId="02371951">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上游：强化原料供给保障。</w:t>
      </w:r>
      <w:r>
        <w:rPr>
          <w:rFonts w:ascii="Times New Roman" w:hAnsi="Times New Roman" w:eastAsia="仿宋_GB2312" w:cs="Times New Roman"/>
          <w:color w:val="000000" w:themeColor="text1"/>
          <w:sz w:val="32"/>
          <w:szCs w:val="32"/>
        </w:rPr>
        <w:t>依托区域及周边资源禀赋，推动龙头企业强化原生资源精准对接和战略合作，为区内新材料项目提供核心原料保障。搭建数智化再生资源综合服务平台，重点回收废塑、金属、玉米秸秆等可再生原料，为农膜、秸秆板材、线束等新型材料加工企业提供绿色原料。加强上游原料预处理产业布局，提升原料纯度与适配性，降低中游加工成本，提升全产业链效率。</w:t>
      </w:r>
    </w:p>
    <w:p w14:paraId="150672F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中游：推动提升精深加工能力。</w:t>
      </w:r>
      <w:r>
        <w:rPr>
          <w:rFonts w:ascii="Times New Roman" w:hAnsi="Times New Roman" w:eastAsia="仿宋_GB2312" w:cs="Times New Roman"/>
          <w:color w:val="000000" w:themeColor="text1"/>
          <w:sz w:val="32"/>
          <w:szCs w:val="32"/>
        </w:rPr>
        <w:t>依托现有企业技改升级与重点项目落地，构建涵盖高端金属材料、新型建材、前沿新材料、新能源材料的多元制造体系。</w:t>
      </w:r>
      <w:r>
        <w:rPr>
          <w:rFonts w:ascii="Times New Roman" w:hAnsi="Times New Roman" w:eastAsia="仿宋_GB2312" w:cs="Times New Roman"/>
          <w:b/>
          <w:bCs/>
          <w:color w:val="000000" w:themeColor="text1"/>
          <w:sz w:val="32"/>
          <w:szCs w:val="32"/>
        </w:rPr>
        <w:t>高端金属材料制造板块：</w:t>
      </w:r>
      <w:r>
        <w:rPr>
          <w:rFonts w:ascii="Times New Roman" w:hAnsi="Times New Roman" w:eastAsia="仿宋_GB2312" w:cs="Times New Roman"/>
          <w:color w:val="000000" w:themeColor="text1"/>
          <w:sz w:val="32"/>
          <w:szCs w:val="32"/>
        </w:rPr>
        <w:t>依托金钢钢铁、启翔型材等企业技改升级，加速向高端金属结构件转型，推进棒材规模化、线材品种化、热轧精品化、中板专业化、冷轧高端化发展，打造高纯铁基材料、工业用钢生产基地，同步研发农业机械、换热器设备零部件所需的高性能金属材料，提升产品适配性。</w:t>
      </w:r>
      <w:r>
        <w:rPr>
          <w:rFonts w:ascii="Times New Roman" w:hAnsi="Times New Roman" w:eastAsia="仿宋_GB2312" w:cs="Times New Roman"/>
          <w:b/>
          <w:bCs/>
          <w:color w:val="000000" w:themeColor="text1"/>
          <w:sz w:val="32"/>
          <w:szCs w:val="32"/>
        </w:rPr>
        <w:t>新型建材制造板块：</w:t>
      </w:r>
      <w:r>
        <w:rPr>
          <w:rFonts w:ascii="Times New Roman" w:hAnsi="Times New Roman" w:eastAsia="仿宋_GB2312" w:cs="Times New Roman"/>
          <w:color w:val="000000" w:themeColor="text1"/>
          <w:sz w:val="32"/>
          <w:szCs w:val="32"/>
        </w:rPr>
        <w:t>以盛博路桥、华泰商混、铭昊建筑等企业为依托，重点发展绿色建材与建筑新材料，大力推进新型墙体材料、低碳混凝土、装配式构件、装配式建筑部品部件等产业发展，开展隔热、保温、防水、耐火、节能、可再生等性能研发，推动建材产品迭代升级。</w:t>
      </w:r>
      <w:r>
        <w:rPr>
          <w:rFonts w:ascii="Times New Roman" w:hAnsi="Times New Roman" w:eastAsia="仿宋_GB2312" w:cs="Times New Roman"/>
          <w:b/>
          <w:bCs/>
          <w:color w:val="000000" w:themeColor="text1"/>
          <w:sz w:val="32"/>
          <w:szCs w:val="32"/>
        </w:rPr>
        <w:t>前沿与新能源材料板块：</w:t>
      </w:r>
      <w:r>
        <w:rPr>
          <w:rFonts w:ascii="Times New Roman" w:hAnsi="Times New Roman" w:eastAsia="仿宋_GB2312" w:cs="Times New Roman"/>
          <w:color w:val="000000" w:themeColor="text1"/>
          <w:sz w:val="32"/>
          <w:szCs w:val="32"/>
        </w:rPr>
        <w:t>布局高附加值前沿新材料领域，聚焦半导体芯片材料、固态电池材料等，通过技术研发与产能建设，强化中游新材料产品对新能源、半导体等新兴产业的支撑能力。</w:t>
      </w:r>
    </w:p>
    <w:p w14:paraId="6680C1A7">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下游：拓展多元应用场景。</w:t>
      </w:r>
      <w:r>
        <w:rPr>
          <w:rFonts w:ascii="Times New Roman" w:hAnsi="Times New Roman" w:eastAsia="仿宋_GB2312" w:cs="Times New Roman"/>
          <w:color w:val="000000" w:themeColor="text1"/>
          <w:sz w:val="32"/>
          <w:szCs w:val="32"/>
        </w:rPr>
        <w:t>重点对接汽车产业，依托高性能铝合金汽车零部件、高端钢材等产品，加强与周边汽车工业企业的配套合作；重点对接农机装备产业，针对智慧农机产业研发创新中心及农机企业需求，供应农业机械所需的高性能金属材料；重点对接建筑与基础设施领域，推广低碳混凝土、装配式构件、节能型材等新型建材，应用于道路桥梁、建筑工程等项目；重点对接电力、航空等领域，拓展铝型材、钢材等产品的应用场景。此外，加强与合作社、终端制造企业等市场主体的对接，通过数智化新型材料服务平台实现供需精准匹配，构建协同联动的市场生态。</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13D9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shd w:val="clear" w:color="auto" w:fill="E7E6E6" w:themeFill="background2"/>
          </w:tcPr>
          <w:p w14:paraId="7F58CAB7">
            <w:pPr>
              <w:pStyle w:val="17"/>
              <w:ind w:left="0" w:leftChars="0" w:firstLine="0" w:firstLineChars="0"/>
              <w:rPr>
                <w:color w:val="000000" w:themeColor="text1"/>
              </w:rPr>
            </w:pPr>
            <w:r>
              <w:rPr>
                <w:rFonts w:eastAsia="黑体"/>
                <w:color w:val="000000" w:themeColor="text1"/>
                <w:sz w:val="28"/>
                <w:szCs w:val="28"/>
              </w:rPr>
              <w:t>专栏1：新型材料产业重点项目</w:t>
            </w:r>
          </w:p>
        </w:tc>
      </w:tr>
      <w:tr w14:paraId="520A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A602C6B">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数智化新型材料服务平台项目：</w:t>
            </w:r>
            <w:r>
              <w:rPr>
                <w:color w:val="000000" w:themeColor="text1"/>
                <w:sz w:val="28"/>
                <w:szCs w:val="28"/>
              </w:rPr>
              <w:t>打造数智化新型材料服务平台，集成原料</w:t>
            </w:r>
            <w:r>
              <w:rPr>
                <w:rFonts w:hint="eastAsia"/>
                <w:color w:val="000000" w:themeColor="text1"/>
                <w:sz w:val="28"/>
                <w:szCs w:val="28"/>
              </w:rPr>
              <w:t>供给</w:t>
            </w:r>
            <w:r>
              <w:rPr>
                <w:color w:val="000000" w:themeColor="text1"/>
                <w:sz w:val="28"/>
                <w:szCs w:val="28"/>
              </w:rPr>
              <w:t>、研发设计、供需对接、物流仓储等功能，提供一站式数字化赋能服务。</w:t>
            </w:r>
          </w:p>
          <w:p w14:paraId="11BA98DD">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金钢钢铁金钛新材料转型升级项目：</w:t>
            </w:r>
            <w:r>
              <w:rPr>
                <w:color w:val="000000" w:themeColor="text1"/>
                <w:sz w:val="28"/>
                <w:szCs w:val="28"/>
              </w:rPr>
              <w:t>配备还原炉、冷轧机、平板式精炼炉等设备及智能控制系统，搭建连铸连轧生产线。</w:t>
            </w:r>
          </w:p>
          <w:p w14:paraId="3249BB2A">
            <w:pPr>
              <w:pStyle w:val="17"/>
              <w:numPr>
                <w:ilvl w:val="0"/>
                <w:numId w:val="1"/>
              </w:numPr>
              <w:spacing w:beforeLines="50" w:after="10" w:line="360" w:lineRule="exact"/>
              <w:ind w:leftChars="0" w:firstLineChars="0"/>
              <w:rPr>
                <w:color w:val="000000" w:themeColor="text1"/>
              </w:rPr>
            </w:pPr>
            <w:r>
              <w:rPr>
                <w:b/>
                <w:color w:val="000000" w:themeColor="text1"/>
                <w:sz w:val="28"/>
                <w:szCs w:val="28"/>
              </w:rPr>
              <w:t>生态凝材托辊生产项目：</w:t>
            </w:r>
            <w:r>
              <w:rPr>
                <w:color w:val="000000" w:themeColor="text1"/>
                <w:sz w:val="28"/>
                <w:szCs w:val="28"/>
              </w:rPr>
              <w:t>生产生态凝材托辊，用于煤矿、粮库、港口传动设备，共建设四条生产线。</w:t>
            </w:r>
          </w:p>
          <w:p w14:paraId="54131D2A">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农机配套件塑料生产项目：</w:t>
            </w:r>
            <w:r>
              <w:rPr>
                <w:color w:val="000000" w:themeColor="text1"/>
                <w:sz w:val="28"/>
                <w:szCs w:val="28"/>
              </w:rPr>
              <w:t>聚焦耐磨、耐低温、轻量化技术研发，生产农机塑料配套件，满足本地及周边农机整机配套需求。</w:t>
            </w:r>
          </w:p>
          <w:p w14:paraId="341483D5">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高端汽车轻量化复合材料配套项目：</w:t>
            </w:r>
            <w:r>
              <w:rPr>
                <w:color w:val="000000" w:themeColor="text1"/>
                <w:sz w:val="28"/>
                <w:szCs w:val="28"/>
              </w:rPr>
              <w:t>建设复合材料成型、加工车间，新上模压、注塑等生产线，生产汽车内饰件、结构件用复合材料产品。</w:t>
            </w:r>
          </w:p>
          <w:p w14:paraId="4FDDE4AB">
            <w:pPr>
              <w:pStyle w:val="17"/>
              <w:numPr>
                <w:ilvl w:val="0"/>
                <w:numId w:val="1"/>
              </w:numPr>
              <w:spacing w:beforeLines="50" w:after="10" w:line="360" w:lineRule="exact"/>
              <w:ind w:leftChars="0" w:firstLineChars="0"/>
              <w:rPr>
                <w:rFonts w:hint="eastAsia"/>
                <w:color w:val="000000" w:themeColor="text1"/>
                <w:sz w:val="28"/>
                <w:szCs w:val="28"/>
              </w:rPr>
            </w:pPr>
            <w:r>
              <w:rPr>
                <w:b/>
                <w:bCs/>
                <w:color w:val="000000" w:themeColor="text1"/>
                <w:sz w:val="28"/>
                <w:szCs w:val="28"/>
              </w:rPr>
              <w:t>绿色低碳装配式建筑部品部件生产基地项目：</w:t>
            </w:r>
            <w:r>
              <w:rPr>
                <w:color w:val="000000" w:themeColor="text1"/>
                <w:sz w:val="28"/>
                <w:szCs w:val="28"/>
              </w:rPr>
              <w:t>引入工业化建造技术，生产低碳混凝土、大跨度预应力构件及一体化装配式墙板，实现保温、装饰、结构的一体化集成。</w:t>
            </w:r>
          </w:p>
          <w:p w14:paraId="5EE52104">
            <w:pPr>
              <w:pStyle w:val="24"/>
              <w:numPr>
                <w:ilvl w:val="0"/>
                <w:numId w:val="2"/>
              </w:numPr>
              <w:spacing w:beforeLines="50" w:afterLines="50" w:line="360" w:lineRule="exact"/>
              <w:ind w:firstLineChars="0"/>
              <w:rPr>
                <w:rFonts w:hint="eastAsia" w:ascii="Times New Roman" w:hAnsi="Times New Roman" w:eastAsia="宋体" w:cs="Times New Roman"/>
                <w:color w:val="000000" w:themeColor="text1"/>
                <w:sz w:val="28"/>
                <w:szCs w:val="28"/>
              </w:rPr>
            </w:pPr>
            <w:r>
              <w:rPr>
                <w:rFonts w:hint="eastAsia" w:ascii="Times New Roman" w:hAnsi="Times New Roman" w:eastAsia="宋体" w:cs="Times New Roman"/>
                <w:b/>
                <w:color w:val="000000" w:themeColor="text1"/>
                <w:sz w:val="28"/>
                <w:szCs w:val="28"/>
              </w:rPr>
              <w:t>新型环保墙体材料年产6000万块新型煤矸石、页岩烧结实心砖（二期）项目：</w:t>
            </w:r>
            <w:r>
              <w:rPr>
                <w:rFonts w:hint="eastAsia" w:ascii="Times New Roman" w:hAnsi="Times New Roman" w:eastAsia="宋体" w:cs="Times New Roman"/>
                <w:color w:val="000000" w:themeColor="text1"/>
                <w:sz w:val="28"/>
                <w:szCs w:val="28"/>
              </w:rPr>
              <w:t>占地面积3.1万平方米，建设实心厂房、库房。</w:t>
            </w:r>
          </w:p>
          <w:p w14:paraId="01843922">
            <w:pPr>
              <w:pStyle w:val="24"/>
              <w:numPr>
                <w:ilvl w:val="0"/>
                <w:numId w:val="2"/>
              </w:numPr>
              <w:spacing w:beforeLines="50" w:afterLines="50" w:line="360" w:lineRule="exact"/>
              <w:ind w:firstLineChars="0"/>
              <w:rPr>
                <w:rFonts w:ascii="Times New Roman" w:hAnsi="Times New Roman" w:eastAsia="宋体" w:cs="Times New Roman"/>
                <w:color w:val="000000" w:themeColor="text1"/>
                <w:sz w:val="28"/>
                <w:szCs w:val="28"/>
              </w:rPr>
            </w:pPr>
            <w:r>
              <w:rPr>
                <w:rFonts w:hint="eastAsia" w:ascii="Times New Roman" w:hAnsi="Times New Roman" w:eastAsia="宋体" w:cs="Times New Roman"/>
                <w:b/>
                <w:color w:val="000000" w:themeColor="text1"/>
                <w:sz w:val="28"/>
                <w:szCs w:val="28"/>
              </w:rPr>
              <w:t>新型环保墙体材料年产6000万块新型煤矸石、页岩烧结实心砖（三期）项目：</w:t>
            </w:r>
            <w:r>
              <w:rPr>
                <w:rFonts w:hint="eastAsia" w:ascii="Times New Roman" w:hAnsi="Times New Roman" w:eastAsia="宋体" w:cs="Times New Roman"/>
                <w:color w:val="000000" w:themeColor="text1"/>
                <w:sz w:val="28"/>
                <w:szCs w:val="28"/>
              </w:rPr>
              <w:t>占地面积1.6万平方米，建设实心厂房、库房。</w:t>
            </w:r>
          </w:p>
        </w:tc>
      </w:tr>
    </w:tbl>
    <w:p w14:paraId="718DEAF1">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2.做强特色装备制造产业集群</w:t>
      </w:r>
    </w:p>
    <w:p w14:paraId="0A6418FE">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托特色装备制造产业园区，聚焦高端装备制造核心领域，以智慧农机为核心牵引，联动换热器、汽车零部件、智能家禽屠宰装备等细分赛道，强化上中下游全链条发力，构建“上游核心支撑稳固、中游制造能级跃升、下游服务生态完善”的产业集群体系，全力打造全国领先的智慧农机创新枢纽。</w:t>
      </w:r>
    </w:p>
    <w:p w14:paraId="6FB6726D">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上游：强化装备材料优化供给与研发创新。</w:t>
      </w:r>
      <w:r>
        <w:rPr>
          <w:rFonts w:ascii="Times New Roman" w:hAnsi="Times New Roman" w:eastAsia="仿宋_GB2312" w:cs="Times New Roman"/>
          <w:color w:val="000000" w:themeColor="text1"/>
          <w:sz w:val="32"/>
          <w:szCs w:val="32"/>
        </w:rPr>
        <w:t>聚焦特色装备制造核心材料优化供给与核心技术研发创新双主线，以龙头企业为牵引，围绕农机、换热器等核心装备制造需求，联合开展专用材料研发与供给。建立“需求-研发-供给”一体化材料保障体系，提升核心装备材料自给率与品质稳定性。</w:t>
      </w:r>
    </w:p>
    <w:p w14:paraId="166562D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中游：提升整机及成套装备制造能级。</w:t>
      </w:r>
      <w:r>
        <w:rPr>
          <w:rFonts w:ascii="Times New Roman" w:hAnsi="Times New Roman" w:eastAsia="仿宋_GB2312" w:cs="Times New Roman"/>
          <w:color w:val="000000" w:themeColor="text1"/>
          <w:sz w:val="32"/>
          <w:szCs w:val="32"/>
        </w:rPr>
        <w:t>以智能化、多元化为方向，壮大整机及成套装备制造主力阵容，推动各细分领域协同发展，形成“智能高端、多品联动”的制造体系。</w:t>
      </w:r>
      <w:r>
        <w:rPr>
          <w:rFonts w:ascii="Times New Roman" w:hAnsi="Times New Roman" w:eastAsia="仿宋_GB2312" w:cs="Times New Roman"/>
          <w:b/>
          <w:bCs/>
          <w:color w:val="000000" w:themeColor="text1"/>
          <w:sz w:val="32"/>
          <w:szCs w:val="32"/>
        </w:rPr>
        <w:t>农机板块：</w:t>
      </w:r>
      <w:r>
        <w:rPr>
          <w:rFonts w:ascii="Times New Roman" w:hAnsi="Times New Roman" w:eastAsia="仿宋_GB2312" w:cs="Times New Roman"/>
          <w:color w:val="000000" w:themeColor="text1"/>
          <w:sz w:val="32"/>
          <w:szCs w:val="32"/>
        </w:rPr>
        <w:t>重点培育顺邦农机、康达农机等龙头企业，加速推进高端农机装备智能化转型，规模化生产大马力拖拉机、播种机、玉米籽粒收获机、鲜食玉米收获机、青储机等全品类农机产品，推广智能终端应用和智能作业模式，打造全国领先的智慧农机整机制造基地。</w:t>
      </w:r>
      <w:r>
        <w:rPr>
          <w:rFonts w:ascii="Times New Roman" w:hAnsi="Times New Roman" w:eastAsia="仿宋_GB2312" w:cs="Times New Roman"/>
          <w:b/>
          <w:bCs/>
          <w:color w:val="000000" w:themeColor="text1"/>
          <w:sz w:val="32"/>
          <w:szCs w:val="32"/>
        </w:rPr>
        <w:t>换热器板块：</w:t>
      </w:r>
      <w:r>
        <w:rPr>
          <w:rFonts w:ascii="Times New Roman" w:hAnsi="Times New Roman" w:eastAsia="仿宋_GB2312" w:cs="Times New Roman"/>
          <w:color w:val="000000" w:themeColor="text1"/>
          <w:sz w:val="32"/>
          <w:szCs w:val="32"/>
        </w:rPr>
        <w:t>做强换热器装备制造优势，支持艾维能源、金亿换热、三明换热等龙头企业，重点生产板式换热器、换热机组、控制柜、压力容器、换热器密封胶条等核心产品，大力开发集成化、数字化的新型换热集成系统。</w:t>
      </w:r>
      <w:r>
        <w:rPr>
          <w:rFonts w:ascii="Times New Roman" w:hAnsi="Times New Roman" w:eastAsia="仿宋_GB2312" w:cs="Times New Roman"/>
          <w:b/>
          <w:bCs/>
          <w:color w:val="000000" w:themeColor="text1"/>
          <w:sz w:val="32"/>
          <w:szCs w:val="32"/>
        </w:rPr>
        <w:t>汽车零部件板块：</w:t>
      </w:r>
      <w:r>
        <w:rPr>
          <w:rFonts w:ascii="Times New Roman" w:hAnsi="Times New Roman" w:eastAsia="仿宋_GB2312" w:cs="Times New Roman"/>
          <w:color w:val="000000" w:themeColor="text1"/>
          <w:sz w:val="32"/>
          <w:szCs w:val="32"/>
        </w:rPr>
        <w:t>巩固汽车零部件制造基础，推动佰诺维、亿丰机械等龙头企业，重点生产汽车配件等产品，拓展高端汽车零部件市场空间。</w:t>
      </w:r>
      <w:r>
        <w:rPr>
          <w:rFonts w:ascii="Times New Roman" w:hAnsi="Times New Roman" w:eastAsia="仿宋_GB2312" w:cs="Times New Roman"/>
          <w:b/>
          <w:bCs/>
          <w:color w:val="000000" w:themeColor="text1"/>
          <w:sz w:val="32"/>
          <w:szCs w:val="32"/>
        </w:rPr>
        <w:t>其他特色装备板块：</w:t>
      </w:r>
      <w:r>
        <w:rPr>
          <w:rFonts w:ascii="Times New Roman" w:hAnsi="Times New Roman" w:eastAsia="仿宋_GB2312" w:cs="Times New Roman"/>
          <w:color w:val="000000" w:themeColor="text1"/>
          <w:sz w:val="32"/>
          <w:szCs w:val="32"/>
        </w:rPr>
        <w:t>聚焦差异化特色装备制造，重点依托艾斯克等龙头企业，发展智能化家禽屠宰及深加工成套装备制造，推进装备自动化、智能化升级。同时，鼓励企业探索其他细分特色装备领域，丰富中游制造品类，构建多元支撑的制造格局。</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2DCF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E7E6E6" w:themeFill="background2"/>
          </w:tcPr>
          <w:p w14:paraId="58162477">
            <w:pPr>
              <w:pStyle w:val="17"/>
              <w:ind w:left="0" w:leftChars="0" w:firstLine="0" w:firstLineChars="0"/>
              <w:rPr>
                <w:color w:val="000000" w:themeColor="text1"/>
              </w:rPr>
            </w:pPr>
            <w:r>
              <w:rPr>
                <w:rFonts w:eastAsia="黑体"/>
                <w:color w:val="000000" w:themeColor="text1"/>
                <w:sz w:val="28"/>
                <w:szCs w:val="28"/>
              </w:rPr>
              <w:t>专栏2：特色装备制造产业重点项目</w:t>
            </w:r>
          </w:p>
        </w:tc>
      </w:tr>
      <w:tr w14:paraId="49B1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80632DC">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农机用铸件生产项目：</w:t>
            </w:r>
            <w:r>
              <w:rPr>
                <w:color w:val="000000" w:themeColor="text1"/>
                <w:sz w:val="28"/>
                <w:szCs w:val="28"/>
              </w:rPr>
              <w:t>购置精密铸造、数控加工、智能检测等设备，配套原料预处理、成品仓储设施，重点生产农机传动件、壳体、耐磨件等核心铸件。</w:t>
            </w:r>
          </w:p>
          <w:p w14:paraId="100EC772">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鲜食玉米收获机建设项目：</w:t>
            </w:r>
            <w:r>
              <w:rPr>
                <w:color w:val="000000" w:themeColor="text1"/>
                <w:sz w:val="28"/>
                <w:szCs w:val="28"/>
              </w:rPr>
              <w:t>建设鲜食玉米收获机生产线2条，割台生产线1条，新购置设备100台（套）。</w:t>
            </w:r>
          </w:p>
          <w:p w14:paraId="1A0EE2BE">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自走式青贮机建设项目：</w:t>
            </w:r>
            <w:r>
              <w:rPr>
                <w:color w:val="000000" w:themeColor="text1"/>
                <w:sz w:val="28"/>
                <w:szCs w:val="28"/>
              </w:rPr>
              <w:t>建设生产车间、研发中心、检测中心、仓库和办公楼等。</w:t>
            </w:r>
          </w:p>
          <w:p w14:paraId="1C8B2267">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增程式拖拉机项目：</w:t>
            </w:r>
            <w:r>
              <w:rPr>
                <w:color w:val="000000" w:themeColor="text1"/>
                <w:sz w:val="28"/>
                <w:szCs w:val="28"/>
              </w:rPr>
              <w:t>建设现代化生产基地，主要建设生产车间、仓库、研发中心、办公及配套设施。</w:t>
            </w:r>
          </w:p>
          <w:p w14:paraId="03F071C7">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茎穗兼收收获机建设项目</w:t>
            </w:r>
            <w:r>
              <w:rPr>
                <w:color w:val="000000" w:themeColor="text1"/>
                <w:sz w:val="28"/>
                <w:szCs w:val="28"/>
              </w:rPr>
              <w:t>：建设生产车间、研发中心、检测中心、仓库和办公楼等。</w:t>
            </w:r>
          </w:p>
          <w:p w14:paraId="2138F1F4">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现代农机装备建设项目：</w:t>
            </w:r>
            <w:r>
              <w:rPr>
                <w:color w:val="000000" w:themeColor="text1"/>
                <w:sz w:val="28"/>
                <w:szCs w:val="28"/>
              </w:rPr>
              <w:t>主要生产智能井房，大型滴灌喷灌，石笼网等。</w:t>
            </w:r>
          </w:p>
          <w:p w14:paraId="2892BAB6">
            <w:pPr>
              <w:pStyle w:val="17"/>
              <w:numPr>
                <w:ilvl w:val="0"/>
                <w:numId w:val="1"/>
              </w:numPr>
              <w:spacing w:beforeLines="50" w:after="10" w:line="360" w:lineRule="exact"/>
              <w:ind w:leftChars="0" w:firstLineChars="0"/>
              <w:rPr>
                <w:bCs/>
                <w:color w:val="000000" w:themeColor="text1"/>
                <w:sz w:val="28"/>
                <w:szCs w:val="28"/>
              </w:rPr>
            </w:pPr>
            <w:r>
              <w:rPr>
                <w:b/>
                <w:color w:val="000000" w:themeColor="text1"/>
                <w:sz w:val="28"/>
                <w:szCs w:val="28"/>
              </w:rPr>
              <w:t>青龙管业大口径混凝土输排水管道生产项目：</w:t>
            </w:r>
            <w:r>
              <w:rPr>
                <w:bCs/>
                <w:color w:val="000000" w:themeColor="text1"/>
                <w:sz w:val="28"/>
                <w:szCs w:val="28"/>
              </w:rPr>
              <w:t>主要建设水泥制品及钢管生产线、生产车间、原材料及成品库、办公楼及附属设施等。</w:t>
            </w:r>
          </w:p>
          <w:p w14:paraId="48481382">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四平3060混塔产业项目：</w:t>
            </w:r>
            <w:r>
              <w:rPr>
                <w:color w:val="000000" w:themeColor="text1"/>
                <w:sz w:val="28"/>
                <w:szCs w:val="28"/>
              </w:rPr>
              <w:t>购置混塔模具、混凝土搅拌站、钢筋加工设备等核心生产设施，确保投产后的生产能力符合标准。</w:t>
            </w:r>
          </w:p>
          <w:p w14:paraId="34FFF124">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花生捡拾机项目：</w:t>
            </w:r>
            <w:r>
              <w:rPr>
                <w:color w:val="000000" w:themeColor="text1"/>
                <w:sz w:val="28"/>
                <w:szCs w:val="28"/>
              </w:rPr>
              <w:t>主要建设标准化车间、仓储物流区，新上自动化焊接机器人、装配流水线、激光切割设备。</w:t>
            </w:r>
          </w:p>
          <w:p w14:paraId="4B0E0D96">
            <w:pPr>
              <w:pStyle w:val="17"/>
              <w:numPr>
                <w:ilvl w:val="0"/>
                <w:numId w:val="1"/>
              </w:numPr>
              <w:spacing w:beforeLines="50" w:after="10" w:line="360" w:lineRule="exact"/>
              <w:ind w:leftChars="0" w:firstLineChars="0"/>
              <w:rPr>
                <w:bCs/>
                <w:color w:val="000000" w:themeColor="text1"/>
                <w:sz w:val="28"/>
                <w:szCs w:val="28"/>
              </w:rPr>
            </w:pPr>
            <w:r>
              <w:rPr>
                <w:b/>
                <w:color w:val="000000" w:themeColor="text1"/>
                <w:sz w:val="28"/>
                <w:szCs w:val="28"/>
              </w:rPr>
              <w:t>秸秆饲料打捆机项目：</w:t>
            </w:r>
            <w:r>
              <w:rPr>
                <w:bCs/>
                <w:color w:val="000000" w:themeColor="text1"/>
                <w:sz w:val="28"/>
                <w:szCs w:val="28"/>
              </w:rPr>
              <w:t>主要建设检测车间、备件车间、实验室、展示厅、综合研发办公楼等，新购置生产设备80台套。</w:t>
            </w:r>
          </w:p>
          <w:p w14:paraId="0F8EF564">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闭型冷却塔研发中心建设项目：</w:t>
            </w:r>
            <w:r>
              <w:rPr>
                <w:bCs/>
                <w:color w:val="000000" w:themeColor="text1"/>
                <w:sz w:val="28"/>
                <w:szCs w:val="28"/>
              </w:rPr>
              <w:t>建设</w:t>
            </w:r>
            <w:r>
              <w:rPr>
                <w:color w:val="000000" w:themeColor="text1"/>
                <w:sz w:val="28"/>
                <w:szCs w:val="28"/>
              </w:rPr>
              <w:t>研发车间、研发中心、办公楼、门卫及设备用房。</w:t>
            </w:r>
          </w:p>
          <w:p w14:paraId="5DC14A35">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换热器孵化基地项目：</w:t>
            </w:r>
            <w:r>
              <w:rPr>
                <w:color w:val="000000" w:themeColor="text1"/>
                <w:sz w:val="28"/>
                <w:szCs w:val="28"/>
              </w:rPr>
              <w:t>建设办公楼和生产车间，用于集暖通换热设备、环保节能产品的研发、生产。</w:t>
            </w:r>
          </w:p>
          <w:p w14:paraId="78E358BE">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年产5000架植保无人机生产线建设项目：</w:t>
            </w:r>
            <w:r>
              <w:rPr>
                <w:color w:val="000000" w:themeColor="text1"/>
                <w:sz w:val="28"/>
                <w:szCs w:val="28"/>
              </w:rPr>
              <w:t>建设年生产5000架植保无人机生产线、购买检测设备、厂房装修等；建设两条年产5000架植保无人机生产线。</w:t>
            </w:r>
          </w:p>
          <w:p w14:paraId="2478E48F">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巨元换热器胶垫生产加工建设项目：</w:t>
            </w:r>
            <w:r>
              <w:rPr>
                <w:color w:val="000000" w:themeColor="text1"/>
                <w:sz w:val="28"/>
                <w:szCs w:val="28"/>
              </w:rPr>
              <w:t>为巨元换热器设备做配套服务，拟入驻A-3标准化厂房。</w:t>
            </w:r>
          </w:p>
          <w:p w14:paraId="6CCE7D69">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智换热能项目：</w:t>
            </w:r>
            <w:r>
              <w:rPr>
                <w:color w:val="000000" w:themeColor="text1"/>
                <w:sz w:val="28"/>
                <w:szCs w:val="28"/>
              </w:rPr>
              <w:t>生产智换热能设备。</w:t>
            </w:r>
          </w:p>
          <w:p w14:paraId="4947BBFC">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四平市北方光谷激光智能装备产业基地建设项目：</w:t>
            </w:r>
            <w:r>
              <w:rPr>
                <w:color w:val="000000" w:themeColor="text1"/>
                <w:sz w:val="28"/>
                <w:szCs w:val="28"/>
              </w:rPr>
              <w:t>入驻红开区约2万平方米标准化厂房，建设激光企业总部基地、激光产业基地。</w:t>
            </w:r>
          </w:p>
          <w:p w14:paraId="05E6955B">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智能家禽屠宰及深加工成套装备升级扩产项目</w:t>
            </w:r>
            <w:r>
              <w:rPr>
                <w:color w:val="000000" w:themeColor="text1"/>
                <w:sz w:val="28"/>
                <w:szCs w:val="28"/>
              </w:rPr>
              <w:t>：实施智能化家禽屠宰生产线升级与产能扩能，开发自动化屠宰、智能分割、在线检测、无害化处理、深加工联动等一体化成套装备</w:t>
            </w:r>
            <w:r>
              <w:rPr>
                <w:rFonts w:hint="eastAsia"/>
                <w:color w:val="000000" w:themeColor="text1"/>
                <w:sz w:val="28"/>
                <w:szCs w:val="28"/>
              </w:rPr>
              <w:t>。</w:t>
            </w:r>
          </w:p>
        </w:tc>
      </w:tr>
    </w:tbl>
    <w:p w14:paraId="7AC4C575">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下游：提升全链销售与综合服务水平。</w:t>
      </w:r>
      <w:r>
        <w:rPr>
          <w:rFonts w:ascii="Times New Roman" w:hAnsi="Times New Roman" w:eastAsia="仿宋_GB2312" w:cs="Times New Roman"/>
          <w:color w:val="000000" w:themeColor="text1"/>
          <w:sz w:val="32"/>
          <w:szCs w:val="32"/>
        </w:rPr>
        <w:t>以市场需求为导向，聚焦农机及换热器销售核心业务，联动多元服务模块，构建“销售+服务”一体化下游生态，为产业集群发展提供终端支撑。拓展销售渠道，搭建线上线下融合的销售平台，精准对接农业生产、工业制造等终端需求，联动长春市汽车产业等外部资源，拓展汽车零部件销售渠道。完善多元服务配套，推动智慧农机产业研发创新中心聚焦服务功能升级，重点开展二手农机交易、农机检验检测、机手技术培训等核心业务模块；建立农机、换热器产品售后保障网络，延伸服务链条，提升产业服务附加值。</w:t>
      </w:r>
    </w:p>
    <w:p w14:paraId="101549B5">
      <w:pPr>
        <w:pStyle w:val="17"/>
        <w:spacing w:after="0"/>
        <w:ind w:left="0" w:leftChars="0" w:firstLine="643"/>
        <w:rPr>
          <w:rFonts w:eastAsia="仿宋_GB2312"/>
          <w:b/>
          <w:bCs/>
          <w:color w:val="000000" w:themeColor="text1"/>
          <w:sz w:val="32"/>
          <w:szCs w:val="32"/>
        </w:rPr>
      </w:pPr>
      <w:r>
        <w:rPr>
          <w:rFonts w:eastAsia="仿宋_GB2312"/>
          <w:b/>
          <w:bCs/>
          <w:color w:val="000000" w:themeColor="text1"/>
          <w:sz w:val="32"/>
          <w:szCs w:val="32"/>
        </w:rPr>
        <w:t>3.做优绿色农产品加工产业集群</w:t>
      </w:r>
    </w:p>
    <w:p w14:paraId="438DF618">
      <w:pPr>
        <w:pStyle w:val="17"/>
        <w:spacing w:after="0"/>
        <w:ind w:left="0" w:leftChars="0" w:firstLine="640"/>
        <w:rPr>
          <w:rFonts w:eastAsia="仿宋_GB2312"/>
          <w:color w:val="000000" w:themeColor="text1"/>
          <w:sz w:val="32"/>
          <w:szCs w:val="32"/>
        </w:rPr>
      </w:pPr>
      <w:r>
        <w:rPr>
          <w:rFonts w:eastAsia="仿宋_GB2312"/>
          <w:color w:val="000000" w:themeColor="text1"/>
          <w:sz w:val="32"/>
          <w:szCs w:val="32"/>
        </w:rPr>
        <w:t>立足四平市黑土地资源禀赋、农机产业集群优势及数智化发展基础，紧扣吉林省“十五五”现代化大农业发展规划要求，以“上游提质、中游增效、下游扩容”为核心方向，推动绿色农产品加工产业集群全链条升级，打造“从田间到餐桌”的健康食品产业生态体系，助力四平建设农业数智化先行示范地，为吉林全面振兴提供产业支撑。</w:t>
      </w:r>
    </w:p>
    <w:p w14:paraId="1D5A16A6">
      <w:pPr>
        <w:pStyle w:val="17"/>
        <w:spacing w:after="0"/>
        <w:ind w:left="0" w:leftChars="0" w:firstLine="643"/>
        <w:rPr>
          <w:rFonts w:eastAsia="仿宋_GB2312"/>
          <w:color w:val="000000" w:themeColor="text1"/>
          <w:sz w:val="32"/>
          <w:szCs w:val="32"/>
        </w:rPr>
      </w:pPr>
      <w:r>
        <w:rPr>
          <w:rFonts w:eastAsia="仿宋_GB2312"/>
          <w:b/>
          <w:bCs/>
          <w:color w:val="000000" w:themeColor="text1"/>
          <w:sz w:val="32"/>
          <w:szCs w:val="32"/>
        </w:rPr>
        <w:t>上游：构建标准化数智种植体系。</w:t>
      </w:r>
      <w:r>
        <w:rPr>
          <w:rFonts w:eastAsia="仿宋_GB2312"/>
          <w:color w:val="000000" w:themeColor="text1"/>
          <w:sz w:val="32"/>
          <w:szCs w:val="32"/>
        </w:rPr>
        <w:t>以黑土地保护为核心，依托红开区农机装备产业优势，推动种植环节标准化、智能化、定向化发展，夯实产业集群原料供给基础。围绕中游加工需求，利用周边及东北区域内黑土地资源协同建设高标准种植基地，实施“定点、定向、定品”种植，重点培育鲜食玉米、富硒大米等优势粮油品种，以及高品质胡萝卜等果蔬品种，形成与宏宝莱果蔬饮品、香誉得食品调味品加工相匹配的原料供给基地。</w:t>
      </w:r>
    </w:p>
    <w:p w14:paraId="08A7704D">
      <w:pPr>
        <w:pStyle w:val="17"/>
        <w:spacing w:after="0"/>
        <w:ind w:left="0" w:leftChars="0" w:firstLine="643"/>
        <w:rPr>
          <w:color w:val="000000" w:themeColor="text1"/>
        </w:rPr>
      </w:pPr>
      <w:r>
        <w:rPr>
          <w:rFonts w:eastAsia="仿宋_GB2312"/>
          <w:b/>
          <w:bCs/>
          <w:color w:val="000000" w:themeColor="text1"/>
          <w:sz w:val="32"/>
          <w:szCs w:val="32"/>
        </w:rPr>
        <w:t>中游：打造绿色加工体系。</w:t>
      </w:r>
      <w:r>
        <w:rPr>
          <w:rFonts w:eastAsia="仿宋_GB2312"/>
          <w:color w:val="000000" w:themeColor="text1"/>
          <w:sz w:val="32"/>
          <w:szCs w:val="32"/>
        </w:rPr>
        <w:t>依托绿色农产品加工产业园区，重点培育壮大宏宝莱、宏平肉业、香誉得食品等本土龙头企业，聚焦四大核心加工板块，构建精细化、高附加值的多元化加工体系。</w:t>
      </w:r>
      <w:r>
        <w:rPr>
          <w:rFonts w:eastAsia="仿宋_GB2312"/>
          <w:b/>
          <w:bCs/>
          <w:color w:val="000000" w:themeColor="text1"/>
          <w:sz w:val="32"/>
          <w:szCs w:val="32"/>
        </w:rPr>
        <w:t>鲜食玉米深加工板块：</w:t>
      </w:r>
      <w:r>
        <w:rPr>
          <w:rFonts w:eastAsia="仿宋_GB2312"/>
          <w:color w:val="000000" w:themeColor="text1"/>
          <w:sz w:val="32"/>
          <w:szCs w:val="32"/>
        </w:rPr>
        <w:t>依托四平玉米地理标志品牌优势，重点推进鲜食玉米精深加工升级，同时联合吉林农业大学等科研院所，攻关玉米膳食纤维、玉米肽、玉米冻干粉等高端产品研发，开发富锌、富硒等系列功能型鲜食玉米制品。</w:t>
      </w:r>
      <w:r>
        <w:rPr>
          <w:rFonts w:eastAsia="仿宋_GB2312"/>
          <w:b/>
          <w:bCs/>
          <w:color w:val="000000" w:themeColor="text1"/>
          <w:sz w:val="32"/>
          <w:szCs w:val="32"/>
        </w:rPr>
        <w:t>粮油加工板块：</w:t>
      </w:r>
      <w:r>
        <w:rPr>
          <w:rFonts w:eastAsia="仿宋_GB2312"/>
          <w:color w:val="000000" w:themeColor="text1"/>
          <w:sz w:val="32"/>
          <w:szCs w:val="32"/>
        </w:rPr>
        <w:t>聚焦玉米油、富硒大米两大核心品类，推动粮油加工向适度加工、营养健康方向转型。玉米油加工领域，加强饼粕等副产物综合利用，研发大豆蛋白面条、膳食纤维冲调粉等衍生产品；富硒大米加工领域，建设智能化精米加工生产线，配套智能分选、精准碾磨设备，严控加工精度，保留大米营养成分，同步开发胚芽米、富硒大米粉等多元化产品。</w:t>
      </w:r>
      <w:r>
        <w:rPr>
          <w:rFonts w:eastAsia="仿宋_GB2312"/>
          <w:b/>
          <w:bCs/>
          <w:color w:val="000000" w:themeColor="text1"/>
          <w:sz w:val="32"/>
          <w:szCs w:val="32"/>
        </w:rPr>
        <w:t>果蔬饮品板块：</w:t>
      </w:r>
      <w:r>
        <w:rPr>
          <w:rFonts w:eastAsia="仿宋_GB2312"/>
          <w:color w:val="000000" w:themeColor="text1"/>
          <w:sz w:val="32"/>
          <w:szCs w:val="32"/>
        </w:rPr>
        <w:t>以宏宝莱等龙头企业为引领，重点优化胡萝卜汁、玉米汁生产工艺，丰富果蔬饮品品类矩阵。在工艺升级上，推广NFC鲜榨技术，减少营养成分流失，提升饮品口感与品质；在品质保障上，建立果蔬原料标准化预处理流程，实现从原料采摘到加工灌装的全流程质量监控，满足市场对健康饮品的需求。</w:t>
      </w:r>
      <w:r>
        <w:rPr>
          <w:rFonts w:eastAsia="仿宋_GB2312"/>
          <w:b/>
          <w:bCs/>
          <w:color w:val="000000" w:themeColor="text1"/>
          <w:sz w:val="32"/>
          <w:szCs w:val="32"/>
        </w:rPr>
        <w:t>调味品板块：</w:t>
      </w:r>
      <w:r>
        <w:rPr>
          <w:rFonts w:eastAsia="仿宋_GB2312"/>
          <w:color w:val="000000" w:themeColor="text1"/>
          <w:sz w:val="32"/>
          <w:szCs w:val="32"/>
        </w:rPr>
        <w:t>依托香誉得食品等企业基础，完善调味品全品类加工体系，提升标准化生产水平。重点发展固体调味料（如复合调味粉）、半固体调味料（如火锅底料、酱料）、液体调味料（如生抽、调味汁）、食用调味油四大核心品类；建立调味品风味研发中心，结合本地食材特色开发定制化调味产品，推动调味品从基础加工向特色化、高端化转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1E45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000" w:type="pct"/>
            <w:shd w:val="clear" w:color="auto" w:fill="E7E6E6" w:themeFill="background2"/>
          </w:tcPr>
          <w:p w14:paraId="0E7B0DCB">
            <w:pPr>
              <w:pStyle w:val="17"/>
              <w:ind w:left="0" w:leftChars="0" w:firstLine="0" w:firstLineChars="0"/>
              <w:rPr>
                <w:color w:val="000000" w:themeColor="text1"/>
              </w:rPr>
            </w:pPr>
            <w:r>
              <w:rPr>
                <w:rFonts w:eastAsia="黑体"/>
                <w:color w:val="000000" w:themeColor="text1"/>
                <w:sz w:val="28"/>
                <w:szCs w:val="28"/>
              </w:rPr>
              <w:t>专栏</w:t>
            </w:r>
            <w:r>
              <w:rPr>
                <w:rFonts w:hint="eastAsia" w:eastAsia="黑体"/>
                <w:sz w:val="28"/>
                <w:szCs w:val="28"/>
              </w:rPr>
              <w:t>3</w:t>
            </w:r>
            <w:r>
              <w:rPr>
                <w:rFonts w:eastAsia="黑体"/>
                <w:color w:val="000000" w:themeColor="text1"/>
                <w:sz w:val="28"/>
                <w:szCs w:val="28"/>
              </w:rPr>
              <w:t>：绿色农产品深加工产业重点项目</w:t>
            </w:r>
          </w:p>
        </w:tc>
      </w:tr>
      <w:tr w14:paraId="688D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3D6E71B">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数智化绿色农产品服务平台项目：</w:t>
            </w:r>
            <w:r>
              <w:rPr>
                <w:color w:val="000000" w:themeColor="text1"/>
                <w:sz w:val="28"/>
                <w:szCs w:val="28"/>
              </w:rPr>
              <w:t>搭建全链条数智服务平台，集成溯源管控、供需对接、智能管理、技术赋能、冷链物流调度等功能，联动种植、加工、销售全环节，推动产业数智化升级。</w:t>
            </w:r>
          </w:p>
          <w:p w14:paraId="4ECE40A6">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年产110万吨玉米全籽粒高值化综合利用健康产品项目：</w:t>
            </w:r>
            <w:r>
              <w:rPr>
                <w:color w:val="000000" w:themeColor="text1"/>
                <w:sz w:val="28"/>
                <w:szCs w:val="28"/>
              </w:rPr>
              <w:t>年处理玉米110万吨，年产各类玉米健康产品110万吨。主要产品为玉米瘦身洁肠脆片、玉米营养油、玉米胚蛋白肽速溶冲剂等。</w:t>
            </w:r>
          </w:p>
          <w:p w14:paraId="4B1D859F">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鲜食玉米系列产品建设项目：</w:t>
            </w:r>
            <w:r>
              <w:rPr>
                <w:color w:val="000000" w:themeColor="text1"/>
                <w:sz w:val="28"/>
                <w:szCs w:val="28"/>
              </w:rPr>
              <w:t>建设甜粘玉米收储、加工、冷冻、存储、销售和科技研发、秸秆加工处理等设备设施。拟在周边乡镇打造标准化、规模化种植基地和青储饲料生产基地。</w:t>
            </w:r>
          </w:p>
          <w:p w14:paraId="77F1CE38">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四平宏宝莱饮品股份有限公司杂粮杂豆精深加工项目：</w:t>
            </w:r>
            <w:r>
              <w:rPr>
                <w:color w:val="000000" w:themeColor="text1"/>
                <w:sz w:val="28"/>
                <w:szCs w:val="28"/>
              </w:rPr>
              <w:t>建设花生及杂粮杂豆（植物蛋白饮料等）精深加工生产线及设备购置，智能化及自动化建设，数字仓储物流系统升级改造。</w:t>
            </w:r>
          </w:p>
          <w:p w14:paraId="1D713663">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智能化食品生产车间建设项目：</w:t>
            </w:r>
            <w:r>
              <w:rPr>
                <w:color w:val="000000" w:themeColor="text1"/>
                <w:sz w:val="28"/>
                <w:szCs w:val="28"/>
              </w:rPr>
              <w:t>建设智能化食品生产车间、现代化食品仓库，购置生物质锅炉2座，引进智能化设备30台，新上生产线两条，并修缮厂区、建设消防水池等配套设施。</w:t>
            </w:r>
          </w:p>
          <w:p w14:paraId="6B3E0CD1">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NFC鲜榨果蔬饮品工艺升级及品类拓展项目：</w:t>
            </w:r>
            <w:r>
              <w:rPr>
                <w:color w:val="000000" w:themeColor="text1"/>
                <w:sz w:val="28"/>
                <w:szCs w:val="28"/>
              </w:rPr>
              <w:t>引进先进鲜榨、低温杀菌、无菌灌装设备，重点开发胡萝卜汁、玉米汁、果蔬复合汁等系列产品。</w:t>
            </w:r>
          </w:p>
        </w:tc>
      </w:tr>
    </w:tbl>
    <w:p w14:paraId="7479660B">
      <w:pPr>
        <w:pStyle w:val="17"/>
        <w:ind w:left="0" w:leftChars="0" w:firstLine="643"/>
        <w:rPr>
          <w:rFonts w:eastAsia="仿宋_GB2312"/>
          <w:color w:val="000000" w:themeColor="text1"/>
          <w:sz w:val="32"/>
          <w:szCs w:val="32"/>
        </w:rPr>
      </w:pPr>
      <w:r>
        <w:rPr>
          <w:rFonts w:eastAsia="仿宋_GB2312"/>
          <w:b/>
          <w:bCs/>
          <w:color w:val="000000" w:themeColor="text1"/>
          <w:sz w:val="32"/>
          <w:szCs w:val="32"/>
        </w:rPr>
        <w:t>下游：构建数智化销售服务体系。</w:t>
      </w:r>
      <w:r>
        <w:rPr>
          <w:rFonts w:eastAsia="仿宋_GB2312"/>
          <w:color w:val="000000" w:themeColor="text1"/>
          <w:sz w:val="32"/>
          <w:szCs w:val="32"/>
        </w:rPr>
        <w:t>以数智化绿色农产品服务平台为核心，整合线上线下资源，强化品牌赋能，实现“种植—加工—仓储—销售”全链条贯通。构建多元化销售网络，线下依托“玉米办”资源，在大型商超、玉米街设立定点直销店，推动农产品进社区，实现“家门口的购物体验”。线上升级电商运营模式，优化线上商城建设，深化与京东、淘宝等头部电商平台合作，扩大入驻规模与销售份额。强化品牌建设与市场推广，整合区域资源，打造红开区绿色农产品公共品牌，联动宏宝莱、香誉得食品等企业品牌，形成“公共品牌+企业品牌”协同发展格局。完善数智化服务平台功能，新增技术指导、金融服务、检测认证等模块，为企业提供全生命周期服务。</w:t>
      </w:r>
    </w:p>
    <w:p w14:paraId="20E06B8D">
      <w:pPr>
        <w:ind w:firstLine="640" w:firstLineChars="200"/>
        <w:outlineLvl w:val="1"/>
        <w:rPr>
          <w:rFonts w:ascii="Times New Roman" w:hAnsi="Times New Roman" w:eastAsia="楷体" w:cs="Times New Roman"/>
          <w:color w:val="000000" w:themeColor="text1"/>
          <w:sz w:val="32"/>
          <w:szCs w:val="32"/>
        </w:rPr>
      </w:pPr>
      <w:bookmarkStart w:id="32" w:name="_Toc2421"/>
      <w:r>
        <w:rPr>
          <w:rFonts w:ascii="Times New Roman" w:hAnsi="Times New Roman" w:eastAsia="楷体" w:cs="Times New Roman"/>
          <w:color w:val="000000" w:themeColor="text1"/>
          <w:sz w:val="32"/>
          <w:szCs w:val="32"/>
        </w:rPr>
        <w:t>（二）全力打造两大创新基地</w:t>
      </w:r>
      <w:bookmarkEnd w:id="32"/>
    </w:p>
    <w:p w14:paraId="3DD58632">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1.建设中国北方智慧农机研发创新基地</w:t>
      </w:r>
    </w:p>
    <w:p w14:paraId="61F0360A">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农机装备制造为核心，依托农机产业发展专班组织领导，横向沿文博路打造产业发展轴，纵向沿慧智街构建创新服务轴，联通农机全产业链。布局检测研发片区、农机孵化片区、农机转化拓展片区，开展关键技术研发与服务，提升智慧农机自主创新能力，强化智慧农机产业示范与技术应用推广，培育一批具有创新活力的科技型企业，建设集高端制造、科研创新、配套服务于一体的现代农业装备基地，力争5年内打造50亿级龙头带动、配套齐备、产业集聚的智慧农机产业创新基地。</w:t>
      </w:r>
    </w:p>
    <w:p w14:paraId="7DBE67E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打造数据驱动的智能决策中心。</w:t>
      </w:r>
      <w:r>
        <w:rPr>
          <w:rFonts w:ascii="Times New Roman" w:hAnsi="Times New Roman" w:eastAsia="仿宋_GB2312" w:cs="Times New Roman"/>
          <w:color w:val="000000" w:themeColor="text1"/>
          <w:sz w:val="32"/>
          <w:szCs w:val="32"/>
        </w:rPr>
        <w:t>利用四平及吉林省的农业应用场景，建立区域性“智慧农机大数据云平台”。与省内外高校合作，广泛部署农田物联网传感器，收集土壤、气候、作物生长及农机作业数据。通过数据分析，优化单台农机的作业路径与效率，为区域种植规划、灾害预警、政策制定提供决策支持。</w:t>
      </w:r>
    </w:p>
    <w:p w14:paraId="5A6C6CFC">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建立开放的“智能农机中试与应用场景实验室”。</w:t>
      </w:r>
      <w:r>
        <w:rPr>
          <w:rFonts w:ascii="Times New Roman" w:hAnsi="Times New Roman" w:eastAsia="仿宋_GB2312" w:cs="Times New Roman"/>
          <w:color w:val="000000" w:themeColor="text1"/>
          <w:sz w:val="32"/>
          <w:szCs w:val="32"/>
        </w:rPr>
        <w:t>推动区域内农机龙头企业、创新中心、合作农场联动，共同打造新型农机中试应用场景，将基地从“制造场”升级为“验证场”和“示范场”。在合作区域内划出示范推广应用地块，模拟黑土地典型作业环境。邀请国内外科研团队、初创企业，进行农机自动驾驶、精准变量作业、农业机器人等新技术的中试与示范，使基地成为行业新技术的“试金石”和“展示窗”。</w:t>
      </w:r>
    </w:p>
    <w:p w14:paraId="219C45C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发展“智慧农机+”融合服务生态。</w:t>
      </w:r>
      <w:r>
        <w:rPr>
          <w:rFonts w:ascii="Times New Roman" w:hAnsi="Times New Roman" w:eastAsia="仿宋_GB2312" w:cs="Times New Roman"/>
          <w:color w:val="000000" w:themeColor="text1"/>
          <w:sz w:val="32"/>
          <w:szCs w:val="32"/>
        </w:rPr>
        <w:t>重点打造吉林寰谷农业科技服务平台，延伸农机产业价值链，从“卖产品”向“卖服务”、“提供系统解决方案”拓展，形成涵盖技术引领、产品出口、售后服务、金融支撑、人才培育的全方位农业服务贸易综合平台。支持企业创新发展按作业效果付费、农业全程托管等新型商业模式。发挥农机合作社优势，鼓励开展资源整合，提供涵盖智能农机租赁、作业调度、维修保养、人员培训、保险信贷的“一站式”服务，帮助农民降低使用智能农机的门槛和风险。将“智慧”要素更深度地融入从技术研发、产品验证到商业服务的每一个环节，从而真正成为引领北方乃至全国智慧农机发展的策源地。</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653D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E7E6E6" w:themeFill="background2"/>
          </w:tcPr>
          <w:p w14:paraId="05AEBEBD">
            <w:pPr>
              <w:pStyle w:val="17"/>
              <w:ind w:left="0" w:leftChars="0" w:firstLine="0" w:firstLineChars="0"/>
              <w:rPr>
                <w:color w:val="000000" w:themeColor="text1"/>
              </w:rPr>
            </w:pPr>
            <w:r>
              <w:rPr>
                <w:rFonts w:eastAsia="黑体"/>
                <w:color w:val="000000" w:themeColor="text1"/>
                <w:sz w:val="28"/>
                <w:szCs w:val="28"/>
              </w:rPr>
              <w:t>专栏</w:t>
            </w:r>
            <w:r>
              <w:rPr>
                <w:rFonts w:hint="eastAsia" w:eastAsia="黑体"/>
                <w:sz w:val="28"/>
                <w:szCs w:val="28"/>
              </w:rPr>
              <w:t>4</w:t>
            </w:r>
            <w:r>
              <w:rPr>
                <w:rFonts w:eastAsia="黑体"/>
                <w:color w:val="000000" w:themeColor="text1"/>
                <w:sz w:val="28"/>
                <w:szCs w:val="28"/>
              </w:rPr>
              <w:t>：中国北方智慧农机研发创新基地重点项目</w:t>
            </w:r>
          </w:p>
        </w:tc>
      </w:tr>
      <w:tr w14:paraId="58C0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C5C1F56">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中国北方智慧农机研发创新平台项目：</w:t>
            </w:r>
            <w:r>
              <w:rPr>
                <w:color w:val="000000" w:themeColor="text1"/>
                <w:sz w:val="28"/>
                <w:szCs w:val="28"/>
              </w:rPr>
              <w:t>建设二手农机维修交易区、机手培训中心、中转仓、云仓、展示销售中心及研发中心等。</w:t>
            </w:r>
          </w:p>
          <w:p w14:paraId="1A09BAF8">
            <w:pPr>
              <w:pStyle w:val="17"/>
              <w:numPr>
                <w:ilvl w:val="0"/>
                <w:numId w:val="1"/>
              </w:numPr>
              <w:spacing w:beforeLines="50" w:after="10" w:line="360" w:lineRule="exact"/>
              <w:ind w:leftChars="0" w:firstLineChars="0"/>
              <w:rPr>
                <w:color w:val="000000" w:themeColor="text1"/>
                <w:sz w:val="28"/>
                <w:szCs w:val="28"/>
              </w:rPr>
            </w:pPr>
            <w:bookmarkStart w:id="33" w:name="OLE_LINK10"/>
            <w:bookmarkStart w:id="34" w:name="OLE_LINK9"/>
            <w:r>
              <w:rPr>
                <w:b/>
                <w:bCs/>
                <w:color w:val="000000" w:themeColor="text1"/>
                <w:sz w:val="28"/>
                <w:szCs w:val="28"/>
              </w:rPr>
              <w:t>高端农机具研发制造建设项目：</w:t>
            </w:r>
            <w:r>
              <w:rPr>
                <w:color w:val="000000" w:themeColor="text1"/>
                <w:sz w:val="28"/>
                <w:szCs w:val="28"/>
              </w:rPr>
              <w:t>主要建设技术研发、智能制造、智能仓储、产品展示中心。</w:t>
            </w:r>
            <w:bookmarkEnd w:id="33"/>
            <w:bookmarkEnd w:id="34"/>
          </w:p>
          <w:p w14:paraId="3EFFAF22">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液化天然气（LNG）智能拖拉机研发项目：</w:t>
            </w:r>
            <w:r>
              <w:rPr>
                <w:color w:val="000000" w:themeColor="text1"/>
                <w:sz w:val="28"/>
                <w:szCs w:val="28"/>
              </w:rPr>
              <w:t>建设包括生产车间、仓库、办公及生活设施等。</w:t>
            </w:r>
          </w:p>
          <w:p w14:paraId="6E7C113D">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中大型高性能智能免耕穴播机研发项目：</w:t>
            </w:r>
            <w:r>
              <w:rPr>
                <w:bCs/>
                <w:color w:val="000000" w:themeColor="text1"/>
                <w:sz w:val="28"/>
                <w:szCs w:val="28"/>
              </w:rPr>
              <w:t>研发</w:t>
            </w:r>
            <w:r>
              <w:rPr>
                <w:color w:val="000000" w:themeColor="text1"/>
                <w:sz w:val="28"/>
                <w:szCs w:val="28"/>
              </w:rPr>
              <w:t>生产200台集电驱精密播种装置及控制系统、高速正压投种系统及限位压种轮、电驱精量施肥、播种单元独立液压仿形等于一体的智能免耕穴播机。</w:t>
            </w:r>
          </w:p>
          <w:p w14:paraId="4E2E7A8D">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中大型高性能复合式条播机研发项目：</w:t>
            </w:r>
            <w:r>
              <w:rPr>
                <w:bCs/>
                <w:color w:val="000000" w:themeColor="text1"/>
                <w:sz w:val="28"/>
                <w:szCs w:val="28"/>
              </w:rPr>
              <w:t>研发</w:t>
            </w:r>
            <w:r>
              <w:rPr>
                <w:color w:val="000000" w:themeColor="text1"/>
                <w:sz w:val="28"/>
                <w:szCs w:val="28"/>
              </w:rPr>
              <w:t>生产150台集高效免耕耙片结构与保护结构、集成精准排种排肥系统、智能气力式种肥输送技术、种肥智能分配与监测技术、智能液压作业控制技术等于一体的复合式条播机。</w:t>
            </w:r>
          </w:p>
          <w:p w14:paraId="328AB870">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智能一体化液体施肥播种机研发项目：</w:t>
            </w:r>
            <w:r>
              <w:rPr>
                <w:bCs/>
                <w:color w:val="000000" w:themeColor="text1"/>
                <w:sz w:val="28"/>
                <w:szCs w:val="28"/>
              </w:rPr>
              <w:t>研发</w:t>
            </w:r>
            <w:r>
              <w:rPr>
                <w:color w:val="000000" w:themeColor="text1"/>
                <w:sz w:val="28"/>
                <w:szCs w:val="28"/>
              </w:rPr>
              <w:t>生产150台集液体肥均匀性智能测控系统、液体肥施用镇压装置等于一体的</w:t>
            </w:r>
            <w:r>
              <w:rPr>
                <w:bCs/>
                <w:color w:val="000000" w:themeColor="text1"/>
                <w:sz w:val="28"/>
                <w:szCs w:val="28"/>
              </w:rPr>
              <w:t>液体施肥播种机</w:t>
            </w:r>
            <w:r>
              <w:rPr>
                <w:color w:val="000000" w:themeColor="text1"/>
                <w:sz w:val="28"/>
                <w:szCs w:val="28"/>
              </w:rPr>
              <w:t>。</w:t>
            </w:r>
          </w:p>
          <w:p w14:paraId="16623DF7">
            <w:pPr>
              <w:pStyle w:val="17"/>
              <w:numPr>
                <w:ilvl w:val="0"/>
                <w:numId w:val="1"/>
              </w:numPr>
              <w:spacing w:beforeLines="50" w:after="10" w:line="360" w:lineRule="exact"/>
              <w:ind w:leftChars="0" w:firstLineChars="0"/>
              <w:rPr>
                <w:color w:val="000000" w:themeColor="text1"/>
                <w:sz w:val="28"/>
                <w:szCs w:val="28"/>
              </w:rPr>
            </w:pPr>
            <w:r>
              <w:rPr>
                <w:b/>
                <w:color w:val="000000" w:themeColor="text1"/>
                <w:sz w:val="28"/>
                <w:szCs w:val="28"/>
              </w:rPr>
              <w:t>中小型集中供种供肥全电驱智能播种机（针对丘陵山区）研发项目：</w:t>
            </w:r>
            <w:r>
              <w:rPr>
                <w:bCs/>
                <w:color w:val="000000" w:themeColor="text1"/>
                <w:sz w:val="28"/>
                <w:szCs w:val="28"/>
              </w:rPr>
              <w:t>研发</w:t>
            </w:r>
            <w:r>
              <w:rPr>
                <w:color w:val="000000" w:themeColor="text1"/>
                <w:sz w:val="28"/>
                <w:szCs w:val="28"/>
              </w:rPr>
              <w:t>生产500台集气力式排种施肥系统、全电驱槽轮式播种施肥装置、高性能破土圆盘、丘陵山区播种机结构等于一体的</w:t>
            </w:r>
            <w:r>
              <w:rPr>
                <w:bCs/>
                <w:color w:val="000000" w:themeColor="text1"/>
                <w:sz w:val="28"/>
                <w:szCs w:val="28"/>
              </w:rPr>
              <w:t>供种供肥全电驱智能播种机</w:t>
            </w:r>
            <w:r>
              <w:rPr>
                <w:color w:val="000000" w:themeColor="text1"/>
                <w:sz w:val="28"/>
                <w:szCs w:val="28"/>
              </w:rPr>
              <w:t>。</w:t>
            </w:r>
          </w:p>
          <w:p w14:paraId="20098F3B">
            <w:pPr>
              <w:pStyle w:val="17"/>
              <w:numPr>
                <w:ilvl w:val="0"/>
                <w:numId w:val="1"/>
              </w:numPr>
              <w:spacing w:beforeLines="50" w:after="10" w:line="360" w:lineRule="exact"/>
              <w:ind w:leftChars="0" w:firstLineChars="0"/>
              <w:rPr>
                <w:b/>
                <w:color w:val="000000" w:themeColor="text1"/>
                <w:sz w:val="28"/>
                <w:szCs w:val="28"/>
              </w:rPr>
            </w:pPr>
            <w:r>
              <w:rPr>
                <w:b/>
                <w:color w:val="000000" w:themeColor="text1"/>
                <w:sz w:val="28"/>
                <w:szCs w:val="28"/>
              </w:rPr>
              <w:t>智能多功能液压折叠挂接组合机构研发项目：</w:t>
            </w:r>
            <w:r>
              <w:rPr>
                <w:bCs/>
                <w:color w:val="000000" w:themeColor="text1"/>
                <w:sz w:val="28"/>
                <w:szCs w:val="28"/>
              </w:rPr>
              <w:t>研发</w:t>
            </w:r>
            <w:r>
              <w:rPr>
                <w:color w:val="000000" w:themeColor="text1"/>
                <w:sz w:val="28"/>
                <w:szCs w:val="28"/>
              </w:rPr>
              <w:t>生产300台集多悬挂适配装置、液压升降与限位装置、液压折叠与限位装置、液压折叠机组智能测控装备、气电液联合一体测控装备等于一体的智能多功能液压折叠挂接组合机构。</w:t>
            </w:r>
          </w:p>
          <w:p w14:paraId="54C3CF86">
            <w:pPr>
              <w:pStyle w:val="17"/>
              <w:numPr>
                <w:ilvl w:val="0"/>
                <w:numId w:val="1"/>
              </w:numPr>
              <w:spacing w:beforeLines="50" w:after="10" w:line="360" w:lineRule="exact"/>
              <w:ind w:leftChars="0" w:firstLineChars="0"/>
              <w:rPr>
                <w:b/>
                <w:color w:val="000000" w:themeColor="text1"/>
              </w:rPr>
            </w:pPr>
            <w:r>
              <w:rPr>
                <w:b/>
                <w:color w:val="000000" w:themeColor="text1"/>
                <w:sz w:val="28"/>
                <w:szCs w:val="28"/>
              </w:rPr>
              <w:t>中大型高性能液压折叠条耕机研发项目：</w:t>
            </w:r>
            <w:r>
              <w:rPr>
                <w:bCs/>
                <w:color w:val="000000" w:themeColor="text1"/>
                <w:sz w:val="28"/>
                <w:szCs w:val="28"/>
              </w:rPr>
              <w:t>研发</w:t>
            </w:r>
            <w:r>
              <w:rPr>
                <w:color w:val="000000" w:themeColor="text1"/>
                <w:sz w:val="28"/>
                <w:szCs w:val="28"/>
              </w:rPr>
              <w:t>生产200台集液压折叠与智能压力调控机构、智能电驱施肥装置等于一体的液压折叠条耕机。</w:t>
            </w:r>
          </w:p>
          <w:p w14:paraId="21921246">
            <w:pPr>
              <w:pStyle w:val="17"/>
              <w:numPr>
                <w:ilvl w:val="0"/>
                <w:numId w:val="1"/>
              </w:numPr>
              <w:spacing w:beforeLines="50" w:after="10" w:line="360" w:lineRule="exact"/>
              <w:ind w:leftChars="0" w:firstLineChars="0"/>
              <w:rPr>
                <w:color w:val="000000" w:themeColor="text1"/>
              </w:rPr>
            </w:pPr>
            <w:r>
              <w:rPr>
                <w:b/>
                <w:color w:val="000000" w:themeColor="text1"/>
                <w:sz w:val="28"/>
                <w:szCs w:val="28"/>
              </w:rPr>
              <w:t>大型高速灭茬耙地机研发项目：</w:t>
            </w:r>
            <w:r>
              <w:rPr>
                <w:bCs/>
                <w:color w:val="000000" w:themeColor="text1"/>
                <w:sz w:val="28"/>
                <w:szCs w:val="28"/>
              </w:rPr>
              <w:t>研发</w:t>
            </w:r>
            <w:r>
              <w:rPr>
                <w:color w:val="000000" w:themeColor="text1"/>
                <w:sz w:val="28"/>
                <w:szCs w:val="28"/>
              </w:rPr>
              <w:t>生产200台集圆盘耙片、新型防过载保护装置、液压折叠系统、智能监测终端等于一体的灭茬耙地机。</w:t>
            </w:r>
          </w:p>
          <w:p w14:paraId="2EC9A458">
            <w:pPr>
              <w:pStyle w:val="17"/>
              <w:numPr>
                <w:ilvl w:val="0"/>
                <w:numId w:val="1"/>
              </w:numPr>
              <w:spacing w:beforeLines="50" w:after="10" w:line="360" w:lineRule="exact"/>
              <w:ind w:leftChars="0" w:firstLineChars="0"/>
              <w:rPr>
                <w:rFonts w:eastAsiaTheme="minorEastAsia"/>
                <w:color w:val="000000" w:themeColor="text1"/>
              </w:rPr>
            </w:pPr>
            <w:r>
              <w:rPr>
                <w:b/>
                <w:bCs/>
                <w:color w:val="000000" w:themeColor="text1"/>
                <w:sz w:val="28"/>
                <w:szCs w:val="28"/>
              </w:rPr>
              <w:t>智慧农机制造项目：</w:t>
            </w:r>
            <w:r>
              <w:rPr>
                <w:color w:val="000000" w:themeColor="text1"/>
                <w:sz w:val="28"/>
                <w:szCs w:val="28"/>
              </w:rPr>
              <w:t>新上2条生产线以及4台机械设备、管件、机箱、控制主机等设备。</w:t>
            </w:r>
          </w:p>
        </w:tc>
      </w:tr>
    </w:tbl>
    <w:p w14:paraId="72EC2920">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2.打造再生资源综合利用产业基地</w:t>
      </w:r>
    </w:p>
    <w:p w14:paraId="441391DE">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立足四平区域产业基础与资源禀赋，紧扣超长期国债支持政策，推动再生资源综合利用产业高质量发展，</w:t>
      </w:r>
      <w:r>
        <w:rPr>
          <w:rFonts w:hint="eastAsia" w:ascii="仿宋" w:hAnsi="仿宋" w:eastAsia="仿宋"/>
          <w:sz w:val="32"/>
          <w:szCs w:val="32"/>
        </w:rPr>
        <w:t>落实好《四平市城区再生资源回收利用高质量发展实施方案（2026—2028年）》，重点</w:t>
      </w:r>
      <w:r>
        <w:rPr>
          <w:rFonts w:ascii="Times New Roman" w:hAnsi="Times New Roman" w:eastAsia="仿宋_GB2312" w:cs="Times New Roman"/>
          <w:sz w:val="32"/>
          <w:szCs w:val="32"/>
        </w:rPr>
        <w:t>建设数智化再生资源综合服务平台，</w:t>
      </w:r>
      <w:r>
        <w:rPr>
          <w:rFonts w:ascii="Times New Roman" w:hAnsi="Times New Roman" w:eastAsia="仿宋_GB2312" w:cs="Times New Roman"/>
          <w:color w:val="000000" w:themeColor="text1"/>
          <w:sz w:val="32"/>
          <w:szCs w:val="32"/>
        </w:rPr>
        <w:t>串联“回收-分拣-加工-再利用”全产业链贯通主线，通过上中下游精准布局、协同发力，构建数智驱动、绿色循环、集群发展的产业生态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力争5年内形成50亿级再生资源综合利用产业基地。</w:t>
      </w:r>
    </w:p>
    <w:p w14:paraId="6CC7DD40">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构建全域数智化回收网络。</w:t>
      </w:r>
      <w:r>
        <w:rPr>
          <w:rFonts w:ascii="Times New Roman" w:hAnsi="Times New Roman" w:eastAsia="仿宋_GB2312" w:cs="Times New Roman"/>
          <w:color w:val="000000" w:themeColor="text1"/>
          <w:sz w:val="32"/>
          <w:szCs w:val="32"/>
        </w:rPr>
        <w:t>以数智化再生资源综合服务平台为统领，破解传统回收体系分散、低效难题，构建“线上平台统筹调度+线下网点全域覆盖+智能装备全程支撑”的一体化回收网络。</w:t>
      </w:r>
      <w:r>
        <w:rPr>
          <w:rFonts w:ascii="Times New Roman" w:hAnsi="Times New Roman" w:eastAsia="仿宋_GB2312" w:cs="Times New Roman"/>
          <w:b/>
          <w:bCs/>
          <w:color w:val="000000" w:themeColor="text1"/>
          <w:sz w:val="32"/>
          <w:szCs w:val="32"/>
        </w:rPr>
        <w:t>推动全域回收网点标准化升级。</w:t>
      </w:r>
      <w:r>
        <w:rPr>
          <w:rFonts w:ascii="Times New Roman" w:hAnsi="Times New Roman" w:eastAsia="仿宋_GB2312" w:cs="Times New Roman"/>
          <w:color w:val="000000" w:themeColor="text1"/>
          <w:sz w:val="32"/>
          <w:szCs w:val="32"/>
        </w:rPr>
        <w:t>以红开区为核心辐射四平全域，整合现有传统回收点，规范升级为标准化再生资源回收站点，配套建设标准化暂存仓库、预处理分拣区及环保设施。按照分区布局原则投放智能垃圾箱，同步依托供销合作社基层网络优势，推进“生活垃圾收运体系-再生资源回收体系”两网深度融合，在社区、产业园区、乡镇重点区域布设智能垃圾分类回收柜，以及农业固体废弃物回收点，实现85%以上常住人口、农业区域覆盖。</w:t>
      </w:r>
      <w:r>
        <w:rPr>
          <w:rFonts w:ascii="Times New Roman" w:hAnsi="Times New Roman" w:eastAsia="仿宋_GB2312" w:cs="Times New Roman"/>
          <w:b/>
          <w:bCs/>
          <w:color w:val="000000" w:themeColor="text1"/>
          <w:sz w:val="32"/>
          <w:szCs w:val="32"/>
        </w:rPr>
        <w:t>拓展特色回收渠道。</w:t>
      </w:r>
      <w:r>
        <w:rPr>
          <w:rFonts w:ascii="Times New Roman" w:hAnsi="Times New Roman" w:eastAsia="仿宋_GB2312" w:cs="Times New Roman"/>
          <w:color w:val="000000" w:themeColor="text1"/>
          <w:sz w:val="32"/>
          <w:szCs w:val="32"/>
        </w:rPr>
        <w:t>针对区域农机产业密集特点，专项布局报废农机回收点；联动四平区域内家电卖场、汽车4S店，建立废旧家电、报废汽车回收专区，开展“以旧换新”专项行动，重点归集废旧家电、电子设备、报废汽车等资源，对接国家废弃电器电子产品回收处理专项资金政策。</w:t>
      </w:r>
    </w:p>
    <w:p w14:paraId="5908B1B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打造数智分拣与绿色加工集群。</w:t>
      </w:r>
      <w:r>
        <w:rPr>
          <w:rFonts w:ascii="Times New Roman" w:hAnsi="Times New Roman" w:eastAsia="仿宋_GB2312" w:cs="Times New Roman"/>
          <w:color w:val="000000" w:themeColor="text1"/>
          <w:sz w:val="32"/>
          <w:szCs w:val="32"/>
        </w:rPr>
        <w:t>以数智化再生资源综合服务平台为纽带，建成区域领先的数智化分拣中心，培育专业化绿色加工产业集群。</w:t>
      </w:r>
      <w:r>
        <w:rPr>
          <w:rFonts w:ascii="Times New Roman" w:hAnsi="Times New Roman" w:eastAsia="仿宋_GB2312" w:cs="Times New Roman"/>
          <w:b/>
          <w:bCs/>
          <w:color w:val="000000" w:themeColor="text1"/>
          <w:sz w:val="32"/>
          <w:szCs w:val="32"/>
        </w:rPr>
        <w:t>搭建升级数智化回收平台。</w:t>
      </w:r>
      <w:r>
        <w:rPr>
          <w:rFonts w:ascii="Times New Roman" w:hAnsi="Times New Roman" w:eastAsia="仿宋_GB2312" w:cs="Times New Roman"/>
          <w:color w:val="000000" w:themeColor="text1"/>
          <w:sz w:val="32"/>
          <w:szCs w:val="32"/>
        </w:rPr>
        <w:t>以瑞德公司为主体，购买第三方算力搭建并升级数智化综合服务平台回收板块，优化“线上预约-智能派单-路径规划-费用结算”全流程功能。</w:t>
      </w:r>
      <w:r>
        <w:rPr>
          <w:rFonts w:ascii="Times New Roman" w:hAnsi="Times New Roman" w:eastAsia="仿宋_GB2312" w:cs="Times New Roman"/>
          <w:b/>
          <w:bCs/>
          <w:color w:val="000000" w:themeColor="text1"/>
          <w:sz w:val="32"/>
          <w:szCs w:val="32"/>
        </w:rPr>
        <w:t>智能化改造再生资源分拣设施。</w:t>
      </w:r>
      <w:r>
        <w:rPr>
          <w:rFonts w:ascii="Times New Roman" w:hAnsi="Times New Roman" w:eastAsia="仿宋_GB2312" w:cs="Times New Roman"/>
          <w:color w:val="000000" w:themeColor="text1"/>
          <w:sz w:val="32"/>
          <w:szCs w:val="32"/>
        </w:rPr>
        <w:t>重点建设数智化分拣中心，扩建现有场地并新建全自动化分拣流水线，引入AI视觉识别、机械臂分拣、红外光谱检测等先进技术，实现废旧塑料、金属、纸张、织物、玻璃等多品类资源精准分拣，提升分拣综合效率。</w:t>
      </w:r>
      <w:r>
        <w:rPr>
          <w:rFonts w:ascii="Times New Roman" w:hAnsi="Times New Roman" w:eastAsia="仿宋_GB2312" w:cs="Times New Roman"/>
          <w:b/>
          <w:bCs/>
          <w:color w:val="000000" w:themeColor="text1"/>
          <w:sz w:val="32"/>
          <w:szCs w:val="32"/>
        </w:rPr>
        <w:t>推进全流程溯源与产销对接。</w:t>
      </w:r>
      <w:r>
        <w:rPr>
          <w:rFonts w:ascii="Times New Roman" w:hAnsi="Times New Roman" w:eastAsia="仿宋_GB2312" w:cs="Times New Roman"/>
          <w:color w:val="000000" w:themeColor="text1"/>
          <w:sz w:val="32"/>
          <w:szCs w:val="32"/>
        </w:rPr>
        <w:t>依托区块链技术构建再生资源溯源系统，精准记录资源来源、分拣过程、质量检测、去向等全链条数据，实现“一物一码”可追溯，数据同步上传至数智化平台。配套建设质量检测中心，建立再生资源分级标准，形成稳定产销链路。</w:t>
      </w:r>
    </w:p>
    <w:p w14:paraId="22D0FFC5">
      <w:pPr>
        <w:pStyle w:val="17"/>
        <w:ind w:left="0" w:leftChars="0" w:firstLine="643"/>
        <w:rPr>
          <w:rFonts w:eastAsia="仿宋"/>
          <w:color w:val="000000" w:themeColor="text1"/>
          <w:sz w:val="32"/>
          <w:szCs w:val="32"/>
          <w:highlight w:val="green"/>
        </w:rPr>
      </w:pPr>
      <w:r>
        <w:rPr>
          <w:rFonts w:eastAsia="仿宋_GB2312"/>
          <w:b/>
          <w:bCs/>
          <w:color w:val="000000" w:themeColor="text1"/>
          <w:sz w:val="32"/>
          <w:szCs w:val="32"/>
        </w:rPr>
        <w:t>深化产业延伸与市场对接。</w:t>
      </w:r>
      <w:r>
        <w:rPr>
          <w:rFonts w:eastAsia="仿宋_GB2312"/>
          <w:color w:val="000000" w:themeColor="text1"/>
          <w:sz w:val="32"/>
          <w:szCs w:val="32"/>
        </w:rPr>
        <w:t>以数智化再生资源综合服务平台为支撑，推动产业链向高端新材料、终端应用领域延伸，强化与本地及域内外优势产业的协同联动，构建“加工-制造-应用-市场”的完整产业闭环。</w:t>
      </w:r>
      <w:r>
        <w:rPr>
          <w:rFonts w:eastAsia="仿宋_GB2312"/>
          <w:b/>
          <w:bCs/>
          <w:color w:val="000000" w:themeColor="text1"/>
          <w:sz w:val="32"/>
          <w:szCs w:val="32"/>
        </w:rPr>
        <w:t>推进废塑产业链高端化。</w:t>
      </w:r>
      <w:r>
        <w:rPr>
          <w:rFonts w:eastAsia="仿宋_GB2312"/>
          <w:color w:val="000000" w:themeColor="text1"/>
          <w:sz w:val="32"/>
          <w:szCs w:val="32"/>
        </w:rPr>
        <w:t>依托红开区现有新型材料企业，利用专业工艺对废塑进一步加工，在现有产业链基础上，生产高附加值工程塑料、可降解塑料等产品，对接汽车、电子等高端制造企业。</w:t>
      </w:r>
      <w:r>
        <w:rPr>
          <w:rFonts w:eastAsia="仿宋_GB2312"/>
          <w:b/>
          <w:bCs/>
          <w:color w:val="000000" w:themeColor="text1"/>
          <w:sz w:val="32"/>
          <w:szCs w:val="32"/>
        </w:rPr>
        <w:t>促进废金属产业链精细化。</w:t>
      </w:r>
      <w:r>
        <w:rPr>
          <w:rFonts w:eastAsia="仿宋_GB2312"/>
          <w:color w:val="000000" w:themeColor="text1"/>
          <w:sz w:val="32"/>
          <w:szCs w:val="32"/>
        </w:rPr>
        <w:t>引入新型材料企业对废金属深化加工，深化“金属→熔铸→钣金件→域内外农机、汽车零部件企业”产业链，引入精密铸造、表面处理等先进技术，生产高精度汽车零部件、农机核心部件，重点供应本地农机企业及域内外汽车零部件企业。推动再生金属产品认证，争取进入国内主流汽车厂商供应链体系，业务流程通过数智化平台实现全流程监管。</w:t>
      </w:r>
      <w:r>
        <w:rPr>
          <w:rFonts w:eastAsia="仿宋_GB2312"/>
          <w:b/>
          <w:bCs/>
          <w:color w:val="000000" w:themeColor="text1"/>
          <w:sz w:val="32"/>
          <w:szCs w:val="32"/>
        </w:rPr>
        <w:t>加快新兴资源加工布局。</w:t>
      </w:r>
      <w:r>
        <w:rPr>
          <w:rFonts w:eastAsia="仿宋_GB2312"/>
          <w:color w:val="000000" w:themeColor="text1"/>
          <w:sz w:val="32"/>
          <w:szCs w:val="32"/>
        </w:rPr>
        <w:t>拓展废旧电池、退役光伏组件、数据中心废旧服务器等新兴再生资源加工领域，建设专项处理生产线，打造区域新兴再生资源处理基地，相关业务纳入数智化新型材料服务平台范畴，抢占产业发展新赛道。</w:t>
      </w:r>
      <w:r>
        <w:rPr>
          <w:rFonts w:hint="eastAsia" w:eastAsia="仿宋_GB2312"/>
          <w:b/>
          <w:bCs/>
          <w:color w:val="000000" w:themeColor="text1"/>
          <w:sz w:val="32"/>
          <w:szCs w:val="32"/>
        </w:rPr>
        <w:t>构建产业发展生态。</w:t>
      </w:r>
      <w:r>
        <w:rPr>
          <w:rFonts w:hint="eastAsia" w:eastAsia="仿宋_GB2312"/>
          <w:color w:val="000000" w:themeColor="text1"/>
          <w:sz w:val="32"/>
          <w:szCs w:val="32"/>
        </w:rPr>
        <w:t>成立再生资源园区产业专班，围绕再生资源全产业链开展精准招商，对接行业龙头企业、科研院所，组织招商推介与项目洽谈，协调解决企业生产经营中的用工、用能、物流、市场拓展、技改升级等各类诉求，开展园区企业安全生产、环保合规、经营规范的日常督导与专项整治。优化</w:t>
      </w:r>
      <w:r>
        <w:rPr>
          <w:rFonts w:hint="eastAsia" w:ascii="仿宋" w:hAnsi="仿宋" w:eastAsia="仿宋"/>
          <w:sz w:val="32"/>
          <w:szCs w:val="32"/>
        </w:rPr>
        <w:t>四平市再生资源回收网络，加强回收站管理，取替非法回收站。</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6CA5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E7E6E6" w:themeFill="background2"/>
          </w:tcPr>
          <w:p w14:paraId="27D01DEF">
            <w:pPr>
              <w:pStyle w:val="17"/>
              <w:ind w:left="0" w:leftChars="0" w:firstLine="0" w:firstLineChars="0"/>
              <w:rPr>
                <w:color w:val="000000" w:themeColor="text1"/>
              </w:rPr>
            </w:pPr>
            <w:r>
              <w:rPr>
                <w:rFonts w:eastAsia="黑体"/>
                <w:color w:val="000000" w:themeColor="text1"/>
                <w:sz w:val="28"/>
                <w:szCs w:val="28"/>
              </w:rPr>
              <w:t>专栏</w:t>
            </w:r>
            <w:r>
              <w:rPr>
                <w:rFonts w:hint="eastAsia" w:eastAsia="黑体"/>
                <w:sz w:val="28"/>
                <w:szCs w:val="28"/>
              </w:rPr>
              <w:t>5</w:t>
            </w:r>
            <w:r>
              <w:rPr>
                <w:rFonts w:eastAsia="黑体"/>
                <w:color w:val="000000" w:themeColor="text1"/>
                <w:sz w:val="28"/>
                <w:szCs w:val="28"/>
              </w:rPr>
              <w:t>：再生资源综合利用产业基地重点项目</w:t>
            </w:r>
          </w:p>
        </w:tc>
      </w:tr>
      <w:tr w14:paraId="2A39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4132378">
            <w:pPr>
              <w:pStyle w:val="17"/>
              <w:numPr>
                <w:ilvl w:val="0"/>
                <w:numId w:val="1"/>
              </w:numPr>
              <w:spacing w:beforeLines="50" w:line="360" w:lineRule="exact"/>
              <w:ind w:leftChars="0" w:firstLineChars="0"/>
              <w:rPr>
                <w:color w:val="000000" w:themeColor="text1"/>
                <w:sz w:val="28"/>
                <w:szCs w:val="28"/>
              </w:rPr>
            </w:pPr>
            <w:r>
              <w:rPr>
                <w:b/>
                <w:bCs/>
                <w:color w:val="000000" w:themeColor="text1"/>
                <w:sz w:val="28"/>
                <w:szCs w:val="28"/>
              </w:rPr>
              <w:t>数智化再生资源综合服务平台项目：</w:t>
            </w:r>
            <w:r>
              <w:rPr>
                <w:color w:val="000000" w:themeColor="text1"/>
                <w:sz w:val="28"/>
                <w:szCs w:val="28"/>
              </w:rPr>
              <w:t>搭建集智能回收、分类分选、在线交易、物流调度于一体的数智化平台，实现再生原料全流程数字化管控与精准供给配套。</w:t>
            </w:r>
          </w:p>
          <w:p w14:paraId="74D3EDD7">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年处理10万吨农业废弃物(秸秆)项目：</w:t>
            </w:r>
            <w:r>
              <w:rPr>
                <w:color w:val="000000" w:themeColor="text1"/>
                <w:sz w:val="28"/>
                <w:szCs w:val="28"/>
              </w:rPr>
              <w:t>拟盘活红开区国有企业方元恒业有限公司闲置厂房，主要生产瓦楞纸、黄腐酸水溶肥、瓦楞纸，黄腐酸水溶肥，育苗肥等。</w:t>
            </w:r>
          </w:p>
          <w:p w14:paraId="4F95EDEF">
            <w:pPr>
              <w:pStyle w:val="17"/>
              <w:numPr>
                <w:ilvl w:val="0"/>
                <w:numId w:val="1"/>
              </w:numPr>
              <w:spacing w:beforeLines="50" w:after="10" w:line="360" w:lineRule="exact"/>
              <w:ind w:leftChars="0" w:firstLineChars="0"/>
              <w:rPr>
                <w:bCs/>
                <w:color w:val="000000" w:themeColor="text1"/>
                <w:sz w:val="28"/>
                <w:szCs w:val="28"/>
              </w:rPr>
            </w:pPr>
            <w:r>
              <w:rPr>
                <w:b/>
                <w:color w:val="000000" w:themeColor="text1"/>
                <w:sz w:val="28"/>
                <w:szCs w:val="28"/>
              </w:rPr>
              <w:t>工业余热回收系统建设项目：</w:t>
            </w:r>
            <w:r>
              <w:rPr>
                <w:bCs/>
                <w:color w:val="000000" w:themeColor="text1"/>
                <w:sz w:val="28"/>
                <w:szCs w:val="28"/>
              </w:rPr>
              <w:t>主要建设余热锅炉系统、热泵机组、有机朗肯循环发电系统、余热回收管网、能源监控系统等。</w:t>
            </w:r>
          </w:p>
          <w:p w14:paraId="7940E66A">
            <w:pPr>
              <w:pStyle w:val="17"/>
              <w:numPr>
                <w:ilvl w:val="0"/>
                <w:numId w:val="1"/>
              </w:numPr>
              <w:spacing w:beforeLines="50" w:after="10" w:line="360" w:lineRule="exact"/>
              <w:ind w:leftChars="0" w:firstLineChars="0"/>
              <w:rPr>
                <w:b/>
                <w:bCs/>
                <w:color w:val="000000" w:themeColor="text1"/>
                <w:sz w:val="28"/>
                <w:szCs w:val="28"/>
              </w:rPr>
            </w:pPr>
            <w:r>
              <w:rPr>
                <w:b/>
                <w:bCs/>
                <w:color w:val="000000" w:themeColor="text1"/>
                <w:sz w:val="28"/>
                <w:szCs w:val="28"/>
              </w:rPr>
              <w:t>固态垃圾处理项目：</w:t>
            </w:r>
            <w:r>
              <w:rPr>
                <w:color w:val="000000" w:themeColor="text1"/>
                <w:sz w:val="28"/>
                <w:szCs w:val="28"/>
              </w:rPr>
              <w:t>主要建设固体废弃物绿色循环处理中心，包括生产车间、仓库、办公区等设施。</w:t>
            </w:r>
          </w:p>
          <w:p w14:paraId="0BA6DBB9">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年处理10万吨废旧塑料无害化低温热解处理项目：</w:t>
            </w:r>
            <w:r>
              <w:rPr>
                <w:color w:val="000000" w:themeColor="text1"/>
                <w:sz w:val="28"/>
                <w:szCs w:val="28"/>
              </w:rPr>
              <w:t>拟租赁新宏运材料厂区，主要安装废旧塑料无害化低温热解处置生产线四条。</w:t>
            </w:r>
          </w:p>
          <w:p w14:paraId="15B3937D">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电池拆解项目：</w:t>
            </w:r>
            <w:r>
              <w:rPr>
                <w:color w:val="000000" w:themeColor="text1"/>
                <w:sz w:val="28"/>
                <w:szCs w:val="28"/>
              </w:rPr>
              <w:t>项目主要建设智能拆解中心预处理车间、材料再生厂湿法冶金车间及研发检测中心。</w:t>
            </w:r>
          </w:p>
          <w:p w14:paraId="2AC2A393">
            <w:pPr>
              <w:pStyle w:val="17"/>
              <w:numPr>
                <w:ilvl w:val="0"/>
                <w:numId w:val="1"/>
              </w:numPr>
              <w:spacing w:beforeLines="50" w:after="10" w:line="360" w:lineRule="exact"/>
              <w:ind w:leftChars="0" w:firstLineChars="0"/>
              <w:rPr>
                <w:b/>
                <w:bCs/>
                <w:color w:val="000000" w:themeColor="text1"/>
                <w:sz w:val="28"/>
                <w:szCs w:val="28"/>
              </w:rPr>
            </w:pPr>
            <w:r>
              <w:rPr>
                <w:b/>
                <w:bCs/>
                <w:color w:val="000000" w:themeColor="text1"/>
                <w:sz w:val="28"/>
                <w:szCs w:val="28"/>
              </w:rPr>
              <w:t>年产40万吨植物固体废弃物与市政渣土泥浆多级生物转化农林业标准种植土壤项目：</w:t>
            </w:r>
            <w:r>
              <w:rPr>
                <w:bCs/>
                <w:color w:val="000000" w:themeColor="text1"/>
                <w:sz w:val="28"/>
                <w:szCs w:val="28"/>
              </w:rPr>
              <w:t>建设物料分储车间、加工厂房、生物转化厂房、电气工作站、生物药剂制备车间、药剂中转存储间、材料化验室、中央控制室、现场控制室、固废中转间、运输车辆冲洗池、土壤成品仓库，同时引进生产线11条。</w:t>
            </w:r>
          </w:p>
          <w:p w14:paraId="1DE71653">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年回收拆解5000台新能源报废汽车建设项目</w:t>
            </w:r>
            <w:r>
              <w:rPr>
                <w:rFonts w:hint="eastAsia"/>
                <w:b/>
                <w:bCs/>
                <w:color w:val="000000" w:themeColor="text1"/>
                <w:sz w:val="28"/>
                <w:szCs w:val="28"/>
              </w:rPr>
              <w:t>：</w:t>
            </w:r>
            <w:r>
              <w:rPr>
                <w:rFonts w:hint="eastAsia" w:ascii="宋体" w:hAnsi="宋体" w:cs="宋体"/>
                <w:color w:val="000000" w:themeColor="text1"/>
                <w:sz w:val="28"/>
                <w:szCs w:val="28"/>
              </w:rPr>
              <w:t>对报废的新能源汽车进行高效拆解和分类，新上拆解设备1台（套），检测仪器1台。</w:t>
            </w:r>
          </w:p>
          <w:p w14:paraId="34F99B40">
            <w:pPr>
              <w:pStyle w:val="17"/>
              <w:numPr>
                <w:ilvl w:val="0"/>
                <w:numId w:val="1"/>
              </w:numPr>
              <w:spacing w:beforeLines="50" w:line="360" w:lineRule="exact"/>
              <w:ind w:leftChars="0" w:firstLineChars="0"/>
              <w:rPr>
                <w:color w:val="000000" w:themeColor="text1"/>
              </w:rPr>
            </w:pPr>
            <w:r>
              <w:rPr>
                <w:b/>
                <w:color w:val="000000" w:themeColor="text1"/>
                <w:sz w:val="28"/>
                <w:szCs w:val="28"/>
              </w:rPr>
              <w:t>再生金属精密加工及高端零部件制造项目</w:t>
            </w:r>
            <w:r>
              <w:rPr>
                <w:color w:val="000000" w:themeColor="text1"/>
                <w:sz w:val="28"/>
                <w:szCs w:val="28"/>
              </w:rPr>
              <w:t>：引入再生金属精密加工生产线，采用精密铸造、表面处理等先进技术，生产高精度汽车零部件、农机核心部件。</w:t>
            </w:r>
          </w:p>
          <w:p w14:paraId="28A89B55">
            <w:pPr>
              <w:pStyle w:val="17"/>
              <w:numPr>
                <w:ilvl w:val="0"/>
                <w:numId w:val="1"/>
              </w:numPr>
              <w:spacing w:beforeLines="50" w:line="360" w:lineRule="exact"/>
              <w:ind w:leftChars="0" w:firstLineChars="0"/>
              <w:rPr>
                <w:color w:val="000000" w:themeColor="text1"/>
                <w:sz w:val="28"/>
                <w:szCs w:val="28"/>
              </w:rPr>
            </w:pPr>
            <w:r>
              <w:rPr>
                <w:b/>
                <w:bCs/>
                <w:color w:val="000000" w:themeColor="text1"/>
                <w:sz w:val="28"/>
                <w:szCs w:val="28"/>
              </w:rPr>
              <w:t>再生资源分拣中心项目：</w:t>
            </w:r>
            <w:r>
              <w:rPr>
                <w:color w:val="000000" w:themeColor="text1"/>
                <w:sz w:val="28"/>
                <w:szCs w:val="28"/>
              </w:rPr>
              <w:t>建设标准化分拣车间、封闭仓储区及智能分拣生产线，配备自动化破碎、分选、打包、检测</w:t>
            </w:r>
            <w:r>
              <w:rPr>
                <w:rFonts w:hint="eastAsia"/>
                <w:color w:val="000000" w:themeColor="text1"/>
                <w:sz w:val="28"/>
                <w:szCs w:val="28"/>
              </w:rPr>
              <w:t>等</w:t>
            </w:r>
            <w:r>
              <w:rPr>
                <w:color w:val="000000" w:themeColor="text1"/>
                <w:sz w:val="28"/>
                <w:szCs w:val="28"/>
              </w:rPr>
              <w:t>设备，实现再生资源精细化分拣</w:t>
            </w:r>
            <w:r>
              <w:rPr>
                <w:rFonts w:hint="eastAsia"/>
                <w:color w:val="000000" w:themeColor="text1"/>
                <w:sz w:val="28"/>
                <w:szCs w:val="28"/>
              </w:rPr>
              <w:t>，</w:t>
            </w:r>
            <w:r>
              <w:rPr>
                <w:color w:val="000000" w:themeColor="text1"/>
                <w:sz w:val="28"/>
                <w:szCs w:val="28"/>
              </w:rPr>
              <w:t>提升原料纯度与标准化供给能力。</w:t>
            </w:r>
          </w:p>
        </w:tc>
      </w:tr>
    </w:tbl>
    <w:p w14:paraId="63EDF44A">
      <w:pPr>
        <w:ind w:firstLine="640" w:firstLineChars="200"/>
        <w:outlineLvl w:val="1"/>
        <w:rPr>
          <w:rFonts w:ascii="Times New Roman" w:hAnsi="Times New Roman" w:eastAsia="楷体" w:cs="Times New Roman"/>
          <w:color w:val="000000" w:themeColor="text1"/>
          <w:sz w:val="32"/>
          <w:szCs w:val="32"/>
        </w:rPr>
      </w:pPr>
      <w:bookmarkStart w:id="35" w:name="_Toc18926"/>
      <w:r>
        <w:rPr>
          <w:rFonts w:ascii="Times New Roman" w:hAnsi="Times New Roman" w:eastAsia="楷体" w:cs="Times New Roman"/>
          <w:color w:val="000000" w:themeColor="text1"/>
          <w:sz w:val="32"/>
          <w:szCs w:val="32"/>
        </w:rPr>
        <w:t>（三）加快培育一个算力中心</w:t>
      </w:r>
      <w:bookmarkEnd w:id="35"/>
    </w:p>
    <w:p w14:paraId="4EB62AA5">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农业大数据+工业互联网”双主线为引领，锚定10000P智能算力目标与50亿级数字经济产业集群愿景，以自主算力建设为核心，以四大数智化平台赋能本地重点产业为抓手，深度融入四平数字经济产业生态，打造服务四平、辐射辽吉边界的区域算力赋能中枢，力争“十五五”期间智能算力达到10000P水平，5年内形成50亿级数字经济产业集聚中心。</w:t>
      </w:r>
    </w:p>
    <w:p w14:paraId="178D8A4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升级农业数字化服务体系。</w:t>
      </w:r>
      <w:r>
        <w:rPr>
          <w:rFonts w:ascii="Times New Roman" w:hAnsi="Times New Roman" w:eastAsia="仿宋_GB2312" w:cs="Times New Roman"/>
          <w:color w:val="000000" w:themeColor="text1"/>
          <w:sz w:val="32"/>
          <w:szCs w:val="32"/>
        </w:rPr>
        <w:t>立足四平“千亿斤粮食”工程实施需求，紧扣红开区农产品深加工产业基础，深化“黑土地肥力监测”“农产品溯源”系统算力支撑能力。拓展农业大数据采集维度，整合四平地区的土壤、气象、农机作业、农产品加工等多源数据，对接链长单位资源，构建覆盖四平及辽吉边界的农业数据资源池；重点开发玉米、杂粮等本地主粮作物生长预测、病虫害智能识别等AI模型，推动精准种植、变量施肥等智慧农业场景在本地落地；升级农产品溯源系统，打通从田间种植到深加工企业生产再到终端销售的全链条数据实时追溯，提升四平绿色农产品品牌竞争力。</w:t>
      </w:r>
    </w:p>
    <w:p w14:paraId="2B6941B1">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构建工业互联网赋能生态。</w:t>
      </w:r>
      <w:r>
        <w:rPr>
          <w:rFonts w:ascii="Times New Roman" w:hAnsi="Times New Roman" w:eastAsia="仿宋_GB2312" w:cs="Times New Roman"/>
          <w:color w:val="000000" w:themeColor="text1"/>
          <w:sz w:val="32"/>
          <w:szCs w:val="32"/>
        </w:rPr>
        <w:t>升级“设备上云”平台算力支撑，聚焦红开区装备制造、新型材料、绿色农产品加工三大重点产业，推动康达农机、顺邦农机、欧维姆机械、金钢股份等龙头企业数字化转型向纵深发展。建设装备制造数字孪生算力支撑平台，重点为农机装备、换热设备研发提供产品仿真、生产流程模拟等算力服务，缩短研发周期、降低生产成本；搭建红开区工业大数据共享平台，联通装备制造产业园、新型材料产业园企业数据资源，促进产业链上下游数据流通，培育协同制造、柔性生产等新型工业模式。</w:t>
      </w:r>
    </w:p>
    <w:p w14:paraId="6F02C8E3">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精准赋能四大数智化平台。</w:t>
      </w:r>
      <w:r>
        <w:rPr>
          <w:rFonts w:ascii="Times New Roman" w:hAnsi="Times New Roman" w:eastAsia="仿宋_GB2312" w:cs="Times New Roman"/>
          <w:color w:val="000000" w:themeColor="text1"/>
          <w:sz w:val="32"/>
          <w:szCs w:val="32"/>
        </w:rPr>
        <w:t>针对智慧农机产业研发创新平台，聚焦农机自动驾驶、作业路径规划、智能控制模块研发等核心需求，提供专项AI训练算力，支撑康达、顺邦等企业高端智能农机装备研发迭代。针对数智化再生资源综合服务平台，重点开发建筑垃圾、工业废料分拣识别、资源回收效率优化模型，对接新型材料产业园区需求，提升再生资源循环利用效率。针对数智化新型材料服务平台，提供新型墙体材料、保温隔热材料性能模拟、配方优化等超级算力支持，加速本地新型材料产业转型升级。针对数智化绿色农产品服务平台，围绕玉米全产业链和畜牧养殖等本地重点领域，构建农产品品质检测、加工工艺优化、市场需求预测模型，推动农产品产销精准对接。通过算力精准赋能，带动四平台与本地产业深度融合，形成特色产业集群，催生一批数智化产业新业态。</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3415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E7E6E6" w:themeFill="background2"/>
          </w:tcPr>
          <w:p w14:paraId="009A9C10">
            <w:pPr>
              <w:pStyle w:val="17"/>
              <w:ind w:left="0" w:leftChars="0" w:firstLine="0" w:firstLineChars="0"/>
              <w:rPr>
                <w:color w:val="000000" w:themeColor="text1"/>
              </w:rPr>
            </w:pPr>
            <w:r>
              <w:rPr>
                <w:rFonts w:eastAsia="黑体"/>
                <w:color w:val="000000" w:themeColor="text1"/>
                <w:sz w:val="28"/>
                <w:szCs w:val="28"/>
              </w:rPr>
              <w:t>专栏</w:t>
            </w:r>
            <w:r>
              <w:rPr>
                <w:rFonts w:hint="eastAsia" w:eastAsia="黑体"/>
                <w:sz w:val="28"/>
                <w:szCs w:val="28"/>
              </w:rPr>
              <w:t>6</w:t>
            </w:r>
            <w:r>
              <w:rPr>
                <w:rFonts w:eastAsia="黑体"/>
                <w:color w:val="000000" w:themeColor="text1"/>
                <w:sz w:val="28"/>
                <w:szCs w:val="28"/>
              </w:rPr>
              <w:t>：算力中心产业重点项目</w:t>
            </w:r>
          </w:p>
        </w:tc>
      </w:tr>
      <w:tr w14:paraId="6C40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B81C2B4">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复兴智能云计算中心建设项目（AI算力中心建设项目）:</w:t>
            </w:r>
            <w:r>
              <w:rPr>
                <w:color w:val="000000" w:themeColor="text1"/>
                <w:sz w:val="28"/>
                <w:szCs w:val="28"/>
              </w:rPr>
              <w:t>建设服务器机房及办公楼等设施，吸引上游服务器设备制造等企业、为下游企业提供服务器租赁（四大通讯运营商、网络结算平台等）、数据分析等服务。</w:t>
            </w:r>
          </w:p>
          <w:p w14:paraId="2A99E8D4">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四平智算（存储）中心项目：</w:t>
            </w:r>
            <w:r>
              <w:rPr>
                <w:color w:val="000000" w:themeColor="text1"/>
                <w:sz w:val="28"/>
                <w:szCs w:val="28"/>
              </w:rPr>
              <w:t>投资建设1000P智能算力（以人工智能训练推理为核心）+1800PB分布式存储中心。</w:t>
            </w:r>
          </w:p>
          <w:p w14:paraId="3E2BA528">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四平市农业大数据2000P智算中心项目：</w:t>
            </w:r>
            <w:r>
              <w:rPr>
                <w:color w:val="000000" w:themeColor="text1"/>
                <w:sz w:val="28"/>
                <w:szCs w:val="28"/>
              </w:rPr>
              <w:t>建设以农业人工智能大模型为核心的农业大数据平台，行业智能服务平台，发展算力产业生态，推动云网协同、云边协同和算网融合发展等。</w:t>
            </w:r>
          </w:p>
          <w:p w14:paraId="787689FC">
            <w:pPr>
              <w:pStyle w:val="17"/>
              <w:numPr>
                <w:ilvl w:val="0"/>
                <w:numId w:val="1"/>
              </w:numPr>
              <w:spacing w:beforeLines="50" w:after="10" w:line="360" w:lineRule="exact"/>
              <w:ind w:leftChars="0" w:firstLineChars="0"/>
              <w:rPr>
                <w:bCs/>
                <w:color w:val="000000" w:themeColor="text1"/>
                <w:sz w:val="28"/>
                <w:szCs w:val="28"/>
              </w:rPr>
            </w:pPr>
            <w:r>
              <w:rPr>
                <w:b/>
                <w:bCs/>
                <w:color w:val="000000" w:themeColor="text1"/>
                <w:sz w:val="28"/>
                <w:szCs w:val="28"/>
              </w:rPr>
              <w:t>中数智防（四平）人工智能产业基地项目：</w:t>
            </w:r>
            <w:r>
              <w:rPr>
                <w:bCs/>
                <w:color w:val="000000" w:themeColor="text1"/>
                <w:sz w:val="28"/>
                <w:szCs w:val="28"/>
              </w:rPr>
              <w:t>进行土地收购和厂房建设，建设启迪大厦中数智防人工智能产业研究院、中数智防（四平）人工智能产品生产基地。</w:t>
            </w:r>
          </w:p>
          <w:p w14:paraId="05D5BA47">
            <w:pPr>
              <w:pStyle w:val="17"/>
              <w:numPr>
                <w:ilvl w:val="0"/>
                <w:numId w:val="1"/>
              </w:numPr>
              <w:spacing w:beforeLines="50" w:after="10" w:line="360" w:lineRule="exact"/>
              <w:ind w:leftChars="0" w:firstLineChars="0"/>
              <w:rPr>
                <w:b/>
                <w:bCs/>
                <w:color w:val="000000" w:themeColor="text1"/>
                <w:sz w:val="28"/>
                <w:szCs w:val="28"/>
              </w:rPr>
            </w:pPr>
            <w:r>
              <w:rPr>
                <w:b/>
                <w:bCs/>
                <w:color w:val="000000" w:themeColor="text1"/>
                <w:sz w:val="28"/>
                <w:szCs w:val="28"/>
              </w:rPr>
              <w:t>“吉云e联”四平云服务项目：</w:t>
            </w:r>
            <w:r>
              <w:rPr>
                <w:color w:val="000000" w:themeColor="text1"/>
                <w:sz w:val="28"/>
                <w:szCs w:val="28"/>
              </w:rPr>
              <w:t>建设</w:t>
            </w:r>
            <w:r>
              <w:rPr>
                <w:bCs/>
                <w:color w:val="000000" w:themeColor="text1"/>
                <w:sz w:val="28"/>
                <w:szCs w:val="28"/>
              </w:rPr>
              <w:t>集成增值电信服务、互联网数据中心、内部分发网络、互联网接入服务等多功能模块。</w:t>
            </w:r>
          </w:p>
        </w:tc>
      </w:tr>
    </w:tbl>
    <w:p w14:paraId="2C35164F">
      <w:pPr>
        <w:ind w:firstLine="640" w:firstLineChars="200"/>
        <w:outlineLvl w:val="1"/>
        <w:rPr>
          <w:rFonts w:ascii="Times New Roman" w:hAnsi="Times New Roman" w:eastAsia="楷体" w:cs="Times New Roman"/>
          <w:color w:val="000000" w:themeColor="text1"/>
          <w:sz w:val="32"/>
          <w:szCs w:val="32"/>
        </w:rPr>
      </w:pPr>
      <w:bookmarkStart w:id="36" w:name="_Toc18578"/>
      <w:r>
        <w:rPr>
          <w:rFonts w:ascii="Times New Roman" w:hAnsi="Times New Roman" w:eastAsia="楷体" w:cs="Times New Roman"/>
          <w:color w:val="000000" w:themeColor="text1"/>
          <w:sz w:val="32"/>
          <w:szCs w:val="32"/>
        </w:rPr>
        <w:t>（四）协同发展四个生产性服务业</w:t>
      </w:r>
      <w:bookmarkEnd w:id="36"/>
    </w:p>
    <w:p w14:paraId="315F5823">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紧扣“服务本地产业升级、融入长春现代化都市圈”两大核心，聚焦三大重点产业链服务需求，打造“产业链供需服务平台”，重点推动工业设计、金融服务、知识产权、人力资源、现代货运等高端专业服务业集聚，培育综合性服务业龙头企业。</w:t>
      </w:r>
    </w:p>
    <w:p w14:paraId="34573B4C">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1.大力发展现代化物流服务。</w:t>
      </w:r>
      <w:r>
        <w:rPr>
          <w:rFonts w:ascii="Times New Roman" w:hAnsi="Times New Roman" w:eastAsia="仿宋_GB2312" w:cs="Times New Roman"/>
          <w:color w:val="000000" w:themeColor="text1"/>
          <w:sz w:val="32"/>
          <w:szCs w:val="32"/>
        </w:rPr>
        <w:t>依托四平的区位和交通优势，主动对接市级、省级陆港交通规划，畅通长春-四平-营口口岸，打通吉林省向南开放主通道。加快推动传统物流业转型升级，建设综合化智能型物流中心。促进物流产业与装备制造、新型材料等产业对接，强化对长吉一体化的物流服务，打造集运输配送、现代仓储、货物分拨、多式联运、包装加工、集装箱业务、物流信息、展览展销为一体的内陆物流港。推动贸易数字化，探索与电商龙头企业合作建立电子商务服务平台，围绕日、韩等东北亚和“一带一路”沿线国家市场，主攻出口装备制造产品、新材料产品等。</w:t>
      </w:r>
    </w:p>
    <w:p w14:paraId="09364F63">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2.创新发展多元化金融服务。</w:t>
      </w:r>
      <w:r>
        <w:rPr>
          <w:rFonts w:ascii="Times New Roman" w:hAnsi="Times New Roman" w:eastAsia="仿宋_GB2312" w:cs="Times New Roman"/>
          <w:color w:val="000000" w:themeColor="text1"/>
          <w:sz w:val="32"/>
          <w:szCs w:val="32"/>
        </w:rPr>
        <w:t>发展创新创业金融，设立园区引导基金，发挥杠杆作用，撬动更多社会资本，壮大产业基金规模，扶持红开区产业创新创业。推进发展普惠金融，鼓励金融机构加快创新金融产品及服务，提升金融服务精准度和普惠性。鼓励有资质的银行发行小微企业集合增信债券，增加区内中小微企业融资渠道，为本地及周边经济发展注入活力。</w:t>
      </w:r>
    </w:p>
    <w:p w14:paraId="3939C87D">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3.推动发展一流化科技服务。</w:t>
      </w:r>
      <w:r>
        <w:rPr>
          <w:rFonts w:ascii="Times New Roman" w:hAnsi="Times New Roman" w:eastAsia="仿宋_GB2312" w:cs="Times New Roman"/>
          <w:color w:val="000000" w:themeColor="text1"/>
          <w:sz w:val="32"/>
          <w:szCs w:val="32"/>
        </w:rPr>
        <w:t>提升科技服务业质量，打造省内一流、国内先进的检验检测认证服务集群，做强软件和信息技术服务业，充分发挥换热器国检中心、吉林省换热系统中试中心等平台的带动作用，鼓励大企业平台化转型，搭建公共服务平台，推进农机检验检测中心、新能源汽车检验检测中心的项目落地，推动检验检测认证产业的持续发展。推动生产性服务业向个性化定制、精品制造等领域延伸，鼓励检验检测设备制造企业向提供检验检测服务领域多元化发展，全面提升产业能级，培育一批国家级和省级服务型制造示范企业。</w:t>
      </w:r>
    </w:p>
    <w:p w14:paraId="284ACEF2">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4.优化高端商务服务。</w:t>
      </w:r>
      <w:r>
        <w:rPr>
          <w:rFonts w:ascii="Times New Roman" w:hAnsi="Times New Roman" w:eastAsia="仿宋_GB2312" w:cs="Times New Roman"/>
          <w:color w:val="000000" w:themeColor="text1"/>
          <w:sz w:val="32"/>
          <w:szCs w:val="32"/>
        </w:rPr>
        <w:t>充分发挥红开区的区位及交通便利优势，加速培育高端商务商贸服务业聚集。创新招商思维和方式，不断拓展新模式、新业态，充分利用长春现代化都市圈协同发展契机，瞄准电子商务、会展商务及培训、设计服务领域，重点引进一批国企、央企及大型民营企业总部，打造区域楼宇总部经济标志区。以会展经济、创意设计、研发服务为重点，推进高端服务业向高价值链、高品质、多样化升级，全面优化商务服务配套功能，满足红开区产业转型升级、创新发展的需求。</w:t>
      </w:r>
    </w:p>
    <w:p w14:paraId="481074C0">
      <w:pPr>
        <w:ind w:firstLine="640" w:firstLineChars="200"/>
        <w:outlineLvl w:val="1"/>
        <w:rPr>
          <w:rFonts w:ascii="Times New Roman" w:hAnsi="Times New Roman" w:eastAsia="楷体" w:cs="Times New Roman"/>
          <w:color w:val="000000" w:themeColor="text1"/>
          <w:sz w:val="32"/>
          <w:szCs w:val="32"/>
        </w:rPr>
      </w:pPr>
      <w:bookmarkStart w:id="37" w:name="_Toc3498"/>
      <w:r>
        <w:rPr>
          <w:rFonts w:ascii="Times New Roman" w:hAnsi="Times New Roman" w:eastAsia="楷体" w:cs="Times New Roman"/>
          <w:color w:val="000000" w:themeColor="text1"/>
          <w:sz w:val="32"/>
          <w:szCs w:val="32"/>
        </w:rPr>
        <w:t>（五）推动各产业深度耦合</w:t>
      </w:r>
      <w:bookmarkEnd w:id="37"/>
    </w:p>
    <w:p w14:paraId="32C05E2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依托“四平台、一中心”即智慧农机产业研发创新平台、数智化绿色农产品服务平台、数智化再生资源综合服务平 台、数智化新型材料服务平台、算力中心，推动形成“以算力驱动创新、以平台链接产业、以数据赋能生态”的联动发展格局，推动各产业深度耦合、相互赋能、协同发展。</w:t>
      </w:r>
    </w:p>
    <w:p w14:paraId="6D572E56">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1.促进形成循环经济生态</w:t>
      </w:r>
    </w:p>
    <w:p w14:paraId="576EEC35">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托数智化再生资源综合服务平台，以“资源—材料—产品—回收”的闭环为核心路径，对回收的废旧金属、塑料、农作物秸秆等可再生资源进行集中与分拣，对接红开区内企业需求，通过先进的工艺将其转化为具有高附加值的农机生产的钣金件、可降解农膜以及秸秆板材的新型材料，供给域内外制造企业，实现“以废促产”；通过数智化绿色农产品服务平台，对接域内外农产品包装、高标准农田建设等需求企业，实现“以废促农”。</w:t>
      </w:r>
    </w:p>
    <w:p w14:paraId="694FD14B">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2.促进服务集成高效</w:t>
      </w:r>
    </w:p>
    <w:p w14:paraId="2412A2EC">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打破四大平台界限，通过整合服务资源，为园区内外的企业、合作社等用户提供“一站式”服务方案。针对农机用户，创新提供“旧机回收+再制造零部件供应+智慧运维”的集成服务；针对农产品加工企业，联合提供“绿色包装材料+溯源认证+电商渠道对接”的服务。创新市场拓展服务模式，鼓励各平台通过共建区域品牌、联合举办产业活动，推动产业优势转化为“红开”品牌优势，提升核心竞争力。</w:t>
      </w:r>
    </w:p>
    <w:p w14:paraId="49BF5A83">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3.推动算力赋能</w:t>
      </w:r>
    </w:p>
    <w:p w14:paraId="7DA43AF8">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托算力中心建设统一的产业数据中台，汇聚来自四大平台的全链条数据，通过制定统一的数据标准与接口，实现跨平台数据的实时共享与无缝流转，对全产业链进行智能调度与优化，实现跨平台的产能协同、供应链优化与风险预警，推动区域内产业体系从“经验驱动”向“数据驱动”转变。力争在农产品产销市场预测与物流方案、农机共享与维护智慧化决策支持等方面率先实现突破。</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715C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E7E6E6" w:themeFill="background2"/>
          </w:tcPr>
          <w:p w14:paraId="50528E0F">
            <w:pPr>
              <w:pStyle w:val="17"/>
              <w:ind w:left="0" w:leftChars="0" w:firstLine="0" w:firstLineChars="0"/>
              <w:rPr>
                <w:color w:val="000000" w:themeColor="text1"/>
              </w:rPr>
            </w:pPr>
            <w:r>
              <w:rPr>
                <w:rFonts w:eastAsia="黑体"/>
                <w:color w:val="000000" w:themeColor="text1"/>
                <w:sz w:val="28"/>
                <w:szCs w:val="28"/>
              </w:rPr>
              <w:t>专栏</w:t>
            </w:r>
            <w:r>
              <w:rPr>
                <w:rFonts w:hint="eastAsia" w:eastAsia="黑体"/>
                <w:sz w:val="28"/>
                <w:szCs w:val="28"/>
              </w:rPr>
              <w:t>7</w:t>
            </w:r>
            <w:r>
              <w:rPr>
                <w:rFonts w:eastAsia="黑体"/>
                <w:color w:val="000000" w:themeColor="text1"/>
                <w:sz w:val="28"/>
                <w:szCs w:val="28"/>
              </w:rPr>
              <w:t>：其他项目</w:t>
            </w:r>
          </w:p>
        </w:tc>
      </w:tr>
      <w:tr w14:paraId="166E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5EDD011">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四平市固态电池(智能)产业园项目:</w:t>
            </w:r>
            <w:r>
              <w:rPr>
                <w:color w:val="000000" w:themeColor="text1"/>
                <w:sz w:val="28"/>
                <w:szCs w:val="28"/>
              </w:rPr>
              <w:t>主要建设厂房、办公楼。建设1GWH固态电芯及储能电池产线；设立固态电池总部基地、固态电池研发中心、北大经济学院产业链及上市辅导专家站。</w:t>
            </w:r>
          </w:p>
          <w:p w14:paraId="75015C57">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光伏发电+智慧路灯”项目：</w:t>
            </w:r>
            <w:r>
              <w:rPr>
                <w:color w:val="000000" w:themeColor="text1"/>
                <w:sz w:val="28"/>
                <w:szCs w:val="28"/>
              </w:rPr>
              <w:t>建设智慧路灯系统需集成光伏发电、照明控制、视频监控、环境监测、应急广播、5G微基站等多功能模块，满足园区智能化管理与绿色能源利用需求。</w:t>
            </w:r>
          </w:p>
          <w:p w14:paraId="350A6268">
            <w:pPr>
              <w:pStyle w:val="17"/>
              <w:numPr>
                <w:ilvl w:val="0"/>
                <w:numId w:val="1"/>
              </w:numPr>
              <w:spacing w:beforeLines="50" w:after="10" w:line="360" w:lineRule="exact"/>
              <w:ind w:leftChars="0" w:firstLineChars="0"/>
              <w:rPr>
                <w:bCs/>
                <w:color w:val="000000" w:themeColor="text1"/>
                <w:sz w:val="28"/>
                <w:szCs w:val="28"/>
              </w:rPr>
            </w:pPr>
            <w:r>
              <w:rPr>
                <w:b/>
                <w:bCs/>
                <w:color w:val="000000" w:themeColor="text1"/>
                <w:sz w:val="28"/>
                <w:szCs w:val="28"/>
              </w:rPr>
              <w:t>德苑祥府城市康养社区项目：</w:t>
            </w:r>
            <w:r>
              <w:rPr>
                <w:bCs/>
                <w:color w:val="000000" w:themeColor="text1"/>
                <w:sz w:val="28"/>
                <w:szCs w:val="28"/>
              </w:rPr>
              <w:t>建设医疗、康复、机构（失能、半失能）养老、居家养老、综合服务，五大功能区。</w:t>
            </w:r>
          </w:p>
          <w:p w14:paraId="55790C82">
            <w:pPr>
              <w:pStyle w:val="17"/>
              <w:numPr>
                <w:ilvl w:val="0"/>
                <w:numId w:val="1"/>
              </w:numPr>
              <w:spacing w:beforeLines="50" w:after="10" w:line="360" w:lineRule="exact"/>
              <w:ind w:leftChars="0" w:firstLineChars="0"/>
              <w:rPr>
                <w:b/>
                <w:bCs/>
                <w:color w:val="000000" w:themeColor="text1"/>
                <w:sz w:val="28"/>
                <w:szCs w:val="28"/>
              </w:rPr>
            </w:pPr>
            <w:r>
              <w:rPr>
                <w:b/>
                <w:bCs/>
                <w:color w:val="000000" w:themeColor="text1"/>
                <w:sz w:val="28"/>
                <w:szCs w:val="28"/>
              </w:rPr>
              <w:t>精养中心建设项目：</w:t>
            </w:r>
            <w:r>
              <w:rPr>
                <w:color w:val="000000" w:themeColor="text1"/>
                <w:sz w:val="28"/>
                <w:szCs w:val="28"/>
              </w:rPr>
              <w:t>新建十七层框架结构综合楼1栋，内设床位800张，新引进精养仪器设备约百余台，用于精神康复、老人养护、失能失智人员的护理。</w:t>
            </w:r>
          </w:p>
          <w:p w14:paraId="65BD1851">
            <w:pPr>
              <w:pStyle w:val="17"/>
              <w:numPr>
                <w:ilvl w:val="0"/>
                <w:numId w:val="1"/>
              </w:numPr>
              <w:spacing w:beforeLines="50" w:after="10" w:line="360" w:lineRule="exact"/>
              <w:ind w:leftChars="0" w:firstLineChars="0"/>
              <w:rPr>
                <w:rFonts w:eastAsiaTheme="minorEastAsia"/>
                <w:color w:val="000000" w:themeColor="text1"/>
              </w:rPr>
            </w:pPr>
            <w:r>
              <w:rPr>
                <w:b/>
                <w:bCs/>
                <w:color w:val="000000" w:themeColor="text1"/>
                <w:sz w:val="28"/>
                <w:szCs w:val="28"/>
              </w:rPr>
              <w:t>宇凯商贸新建仓储物流建设项目：</w:t>
            </w:r>
            <w:r>
              <w:rPr>
                <w:color w:val="000000" w:themeColor="text1"/>
                <w:sz w:val="28"/>
                <w:szCs w:val="28"/>
              </w:rPr>
              <w:t>占地面积5744.69平方米，总建筑面积约2032.62平方米，办公楼建筑面积600平方米，仓库建筑面积1333.79平方米。</w:t>
            </w:r>
          </w:p>
          <w:p w14:paraId="4AA8E661">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医疗设备消杀项目：</w:t>
            </w:r>
            <w:r>
              <w:rPr>
                <w:color w:val="000000" w:themeColor="text1"/>
                <w:sz w:val="28"/>
                <w:szCs w:val="28"/>
              </w:rPr>
              <w:t>购买设备，为医疗机构提供复用器械、器具和物品的消毒供应服务。</w:t>
            </w:r>
          </w:p>
          <w:p w14:paraId="71503763">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国网吉林四平供电公司输变电运维检修用房项目：</w:t>
            </w:r>
            <w:r>
              <w:rPr>
                <w:color w:val="000000" w:themeColor="text1"/>
                <w:sz w:val="28"/>
                <w:szCs w:val="28"/>
              </w:rPr>
              <w:t>建设地点位于兴红路北侧、规划红嘴东街东侧，国网电力开工项目西侧。</w:t>
            </w:r>
          </w:p>
          <w:p w14:paraId="7F829EE0">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年产12000吨塑料包装制品改扩建项目：</w:t>
            </w:r>
            <w:r>
              <w:rPr>
                <w:color w:val="000000" w:themeColor="text1"/>
                <w:sz w:val="28"/>
                <w:szCs w:val="28"/>
              </w:rPr>
              <w:t>主要建设塑料包装制品生产车间1栋、原材料成品库1栋，新引进生产设备6台。</w:t>
            </w:r>
          </w:p>
        </w:tc>
      </w:tr>
    </w:tbl>
    <w:p w14:paraId="00BD9290">
      <w:pPr>
        <w:rPr>
          <w:rFonts w:ascii="Times New Roman" w:hAnsi="Times New Roman" w:eastAsia="仿宋_GB2312" w:cs="Times New Roman"/>
          <w:color w:val="000000" w:themeColor="text1"/>
          <w:sz w:val="32"/>
          <w:szCs w:val="32"/>
        </w:rPr>
      </w:pPr>
    </w:p>
    <w:p w14:paraId="6814000E">
      <w:pPr>
        <w:ind w:firstLine="640" w:firstLineChars="200"/>
        <w:outlineLvl w:val="0"/>
        <w:rPr>
          <w:rFonts w:ascii="Times New Roman" w:hAnsi="Times New Roman" w:eastAsia="黑体" w:cs="Times New Roman"/>
          <w:b/>
          <w:bCs/>
          <w:color w:val="000000" w:themeColor="text1"/>
          <w:sz w:val="32"/>
          <w:szCs w:val="40"/>
        </w:rPr>
      </w:pPr>
      <w:bookmarkStart w:id="38" w:name="_Toc14279"/>
      <w:r>
        <w:rPr>
          <w:rFonts w:ascii="Times New Roman" w:hAnsi="Times New Roman" w:eastAsia="黑体" w:cs="Times New Roman"/>
          <w:b/>
          <w:bCs/>
          <w:color w:val="000000" w:themeColor="text1"/>
          <w:sz w:val="32"/>
          <w:szCs w:val="40"/>
        </w:rPr>
        <w:t>四、重点任务</w:t>
      </w:r>
      <w:bookmarkEnd w:id="38"/>
    </w:p>
    <w:p w14:paraId="63E31D0B">
      <w:pPr>
        <w:ind w:firstLine="640" w:firstLineChars="200"/>
        <w:outlineLvl w:val="1"/>
        <w:rPr>
          <w:rFonts w:ascii="Times New Roman" w:hAnsi="Times New Roman" w:eastAsia="楷体" w:cs="Times New Roman"/>
          <w:color w:val="000000" w:themeColor="text1"/>
          <w:sz w:val="32"/>
          <w:szCs w:val="32"/>
        </w:rPr>
      </w:pPr>
      <w:bookmarkStart w:id="39" w:name="_Toc22519"/>
      <w:r>
        <w:rPr>
          <w:rFonts w:ascii="Times New Roman" w:hAnsi="Times New Roman" w:eastAsia="楷体" w:cs="Times New Roman"/>
          <w:color w:val="000000" w:themeColor="text1"/>
          <w:sz w:val="32"/>
          <w:szCs w:val="32"/>
        </w:rPr>
        <w:t>（一）培育发展新质生产力，打造四平创新策源地</w:t>
      </w:r>
      <w:bookmarkEnd w:id="39"/>
    </w:p>
    <w:p w14:paraId="258635F1">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紧密围绕“创新驱动发展示范区、高质量发展先行区”的建设目标，聚焦三大重点产业科技创新主攻方向，以“小切口突破、大生态营造”为策略，统筹推动创新主体培育、创新成果转化、创新人才集聚，实现从“制造加工区”向“创新策源地”的转型。</w:t>
      </w:r>
    </w:p>
    <w:p w14:paraId="0B9BA9DD">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1.强化科技创新主体培育</w:t>
      </w:r>
    </w:p>
    <w:p w14:paraId="6F8EC6C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实施创新主体培育行动，落实创新驱动发展战略，分层次因企施策，着力提升企业自主创新创业能力，激发企业发展新动能。</w:t>
      </w:r>
    </w:p>
    <w:p w14:paraId="7A37DBD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实施龙头企业带动工程。</w:t>
      </w:r>
      <w:r>
        <w:rPr>
          <w:rFonts w:ascii="Times New Roman" w:hAnsi="Times New Roman" w:eastAsia="仿宋_GB2312" w:cs="Times New Roman"/>
          <w:color w:val="000000" w:themeColor="text1"/>
          <w:sz w:val="32"/>
          <w:szCs w:val="32"/>
        </w:rPr>
        <w:t>引导龙头企业构建创新网络，加快培育新质生产力，推动产业内部科技创新跨界发展、融合发展、平台化发展。持续加大艾斯克、康达等“专精特新”企业和高新技术企业的支持力度，鼓励其加大研发投入。鼓励区内龙头企业实施跨行业的收购、并购或入股区内中小科技型企业，引导企业通过整合，快速实现对战略性新兴产业的前瞻布局，发挥龙头企业对创新资源的吸纳和整合能力。鼓励龙头企业发展多种类型的创业平台，增强企业聚集创新活力的能力，推动企业成为创新枢纽和关键节点。通过发挥龙头企业在创新链中的核心作用，推进龙头企业与中小企业深化合作，破除信息壁垒，形成多中心的区域信息高效流转网络，形成以龙头企业为创新枢纽，中小企业为创新节点，联动政府、科研院所、各类社会服务与专业机构的区域创新网络。对内进行开放式研发变革，鼓励企业加大设备投入、技改投入，突破生产关键技术，不断提高智能制造水平，提升企业自主创新能力。加快淘汰低端落后产能，实施“腾笼换鸟”，让有限资源发挥更大效益，在破立并重中激发企业发展新动能。</w:t>
      </w:r>
    </w:p>
    <w:p w14:paraId="7AFE515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实施科技型中小企业培育提升工程。</w:t>
      </w:r>
      <w:r>
        <w:rPr>
          <w:rFonts w:ascii="Times New Roman" w:hAnsi="Times New Roman" w:eastAsia="仿宋_GB2312" w:cs="Times New Roman"/>
          <w:color w:val="000000" w:themeColor="text1"/>
          <w:sz w:val="32"/>
          <w:szCs w:val="32"/>
        </w:rPr>
        <w:t>持续培育一批成长型科技新贵，积累创新发展后备力量，实现在全市占比的再提升。推动企业“数智化”转型，聚焦特色装备、食品加工、医药、冶金建材等领域，鼓励基础条件优、成长性好的中小企业开展转型项目申报，带动企业数智化能力提升。适应互联网时代发展要求，鼓励中小企业聚焦特色细分领域和消费需求领域，推动以“产品”为中心到以“用户”为中心的企业价值观的转变，持续加大对企业研发投入的扶持力度，重点扶持智能制造、电子信息等战略性新兴产业的科技型初创企业，积极开展本土创新，鼓励中小微企业建立高端和特色研发机构，发挥中小微企业战略灵活和应变反应快的特点，支持中小微企业与东北区域内高校、科研院所共建研发中心，探索形式多样的合作模式。通过产学研合作，紧跟技术创新和市场发展前沿，孕育“新技术、新产业、新业态、新模式”；引导中小微企业与龙头企业开展联合攻关、链条互补合作和跨界融合发展，提升中小企业利用外部创新资源的能力；加大对中小微企业在网络信息化、企业内部组织结构创新、技术成果产品化和产业化能力、商业模式等方面的培训与支持，提升中小企业的创新孕育能力和突破能力；加大对中小企业发展空间与金融等方面的支持力度，优选创新实力强、成长速度快、发展前景好的中小企业予以重点扶持，培育一批“专、特、精、新”和在国际国内有独特产业优势，有特色产品与高端服务能力的创新型中小微企业，壮大市级“专精特新”企业队伍。</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3832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E7E6E6" w:themeFill="background2"/>
          </w:tcPr>
          <w:p w14:paraId="7129CFED">
            <w:pPr>
              <w:pStyle w:val="17"/>
              <w:ind w:left="0" w:leftChars="0" w:firstLine="0" w:firstLineChars="0"/>
              <w:rPr>
                <w:color w:val="000000" w:themeColor="text1"/>
              </w:rPr>
            </w:pPr>
            <w:r>
              <w:rPr>
                <w:rFonts w:eastAsia="黑体"/>
                <w:color w:val="000000" w:themeColor="text1"/>
                <w:sz w:val="28"/>
                <w:szCs w:val="28"/>
              </w:rPr>
              <w:t>专栏</w:t>
            </w:r>
            <w:r>
              <w:rPr>
                <w:rFonts w:hint="eastAsia" w:eastAsia="黑体"/>
                <w:sz w:val="28"/>
                <w:szCs w:val="28"/>
              </w:rPr>
              <w:t>8</w:t>
            </w:r>
            <w:r>
              <w:rPr>
                <w:rFonts w:eastAsia="黑体"/>
                <w:color w:val="000000" w:themeColor="text1"/>
                <w:sz w:val="28"/>
                <w:szCs w:val="28"/>
              </w:rPr>
              <w:t>：科技型企业集群培育提升工程</w:t>
            </w:r>
          </w:p>
        </w:tc>
      </w:tr>
      <w:tr w14:paraId="3BE2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5B9894D">
            <w:pPr>
              <w:pStyle w:val="17"/>
              <w:numPr>
                <w:ilvl w:val="0"/>
                <w:numId w:val="1"/>
              </w:numPr>
              <w:spacing w:beforeLines="50" w:after="10" w:line="440" w:lineRule="exact"/>
              <w:ind w:leftChars="0" w:firstLineChars="0"/>
              <w:rPr>
                <w:color w:val="000000" w:themeColor="text1"/>
                <w:sz w:val="28"/>
                <w:szCs w:val="28"/>
              </w:rPr>
            </w:pPr>
            <w:r>
              <w:rPr>
                <w:b/>
                <w:bCs/>
                <w:color w:val="000000" w:themeColor="text1"/>
                <w:sz w:val="28"/>
                <w:szCs w:val="28"/>
              </w:rPr>
              <w:t>科技型中小企业造林行动。</w:t>
            </w:r>
            <w:r>
              <w:rPr>
                <w:color w:val="000000" w:themeColor="text1"/>
                <w:sz w:val="28"/>
                <w:szCs w:val="28"/>
              </w:rPr>
              <w:t>加大科技型初创企业的培育力度，提供创业培训、科技创新、市场拓展、优惠政策等配套服务。引导科技创新平台孵化和培育科技型企业。到2030年，累计培育科技型中小企业达到30家。</w:t>
            </w:r>
          </w:p>
          <w:p w14:paraId="3B387DCC">
            <w:pPr>
              <w:pStyle w:val="17"/>
              <w:numPr>
                <w:ilvl w:val="0"/>
                <w:numId w:val="1"/>
              </w:numPr>
              <w:spacing w:beforeLines="50" w:after="10" w:line="440" w:lineRule="exact"/>
              <w:ind w:leftChars="0" w:firstLineChars="0"/>
              <w:rPr>
                <w:color w:val="000000" w:themeColor="text1"/>
                <w:sz w:val="28"/>
                <w:szCs w:val="28"/>
              </w:rPr>
            </w:pPr>
            <w:r>
              <w:rPr>
                <w:b/>
                <w:bCs/>
                <w:color w:val="000000" w:themeColor="text1"/>
                <w:sz w:val="28"/>
                <w:szCs w:val="28"/>
              </w:rPr>
              <w:t>高新技术企业增量提质行动。</w:t>
            </w:r>
            <w:r>
              <w:rPr>
                <w:color w:val="000000" w:themeColor="text1"/>
                <w:sz w:val="28"/>
                <w:szCs w:val="28"/>
              </w:rPr>
              <w:t>鼓励高新技术企业加大研发投入、新产品开发和知识产权保护，加速推进科技成果转化和产业化，努力提升高新技术企业产品科技含量和市场竞争力。到2030年，累计培育国家高新技术企业30家。</w:t>
            </w:r>
          </w:p>
          <w:p w14:paraId="50B03C79">
            <w:pPr>
              <w:pStyle w:val="17"/>
              <w:numPr>
                <w:ilvl w:val="0"/>
                <w:numId w:val="1"/>
              </w:numPr>
              <w:spacing w:beforeLines="50" w:after="10" w:line="440" w:lineRule="exact"/>
              <w:ind w:leftChars="0" w:firstLineChars="0"/>
              <w:rPr>
                <w:color w:val="000000" w:themeColor="text1"/>
              </w:rPr>
            </w:pPr>
            <w:r>
              <w:rPr>
                <w:b/>
                <w:bCs/>
                <w:color w:val="000000" w:themeColor="text1"/>
                <w:sz w:val="28"/>
                <w:szCs w:val="28"/>
              </w:rPr>
              <w:t>创新型领军企业引领行动。</w:t>
            </w:r>
            <w:r>
              <w:rPr>
                <w:color w:val="000000" w:themeColor="text1"/>
                <w:sz w:val="28"/>
                <w:szCs w:val="28"/>
              </w:rPr>
              <w:t>推动创新资源向骨干企业集聚，引导企业主动承担国家、省、市重大创新任务，参与国际、国家、行业标准制定。到2030年，新增省创新型领军企业1家。</w:t>
            </w:r>
          </w:p>
        </w:tc>
      </w:tr>
    </w:tbl>
    <w:p w14:paraId="30811947">
      <w:pPr>
        <w:spacing w:beforeLines="50" w:afterLines="50"/>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2.促进科学技术研发应用推广</w:t>
      </w:r>
    </w:p>
    <w:p w14:paraId="61B975B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实施科技成果转化攻坚行动，全面推进科技成果从研发到转化的全流程升级改造，不断提高园区的专业化、综合性、全方位科技服务和成果转化能力，培育集群做大增量。</w:t>
      </w:r>
    </w:p>
    <w:p w14:paraId="5BB2DC11">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提升核心技术研发能力。</w:t>
      </w:r>
      <w:r>
        <w:rPr>
          <w:rFonts w:ascii="Times New Roman" w:hAnsi="Times New Roman" w:eastAsia="仿宋_GB2312" w:cs="Times New Roman"/>
          <w:color w:val="000000" w:themeColor="text1"/>
          <w:sz w:val="32"/>
          <w:szCs w:val="32"/>
        </w:rPr>
        <w:t>以科研项目为支撑，积极支持红开区科技企业与中国农业科学院、吉林省农机研究院、吉林大学等科研院所合作，进行产业内部核心技术的整合性研发。大力支持顺邦农机、康达农机与长春理工大学对接，共同建立“北方（四平）智慧农机产业发展创新中心”，加大农业物联网、农业传感器、农业大数据、农业机器人、农业区块链等智能农机关键技术研发攻关。支持艾斯克与中国农业机械化科学研究院设立“家禽智能化加工技术研发中心”，加大机器视觉、光谱检测、多种技术融合、超声波成像等智能化技术研发。支持金钢钢铁、启翔型材、和鑫科技实现校、地、企联合攻关、产教融合，推进超级钢、低环境负荷型水泥等新材料的前沿技术研发。</w:t>
      </w:r>
    </w:p>
    <w:p w14:paraId="274D5AE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提升科技转化核心功能。</w:t>
      </w:r>
      <w:r>
        <w:rPr>
          <w:rFonts w:ascii="Times New Roman" w:hAnsi="Times New Roman" w:eastAsia="仿宋_GB2312" w:cs="Times New Roman"/>
          <w:color w:val="000000" w:themeColor="text1"/>
          <w:sz w:val="32"/>
          <w:szCs w:val="32"/>
        </w:rPr>
        <w:t>强化技术转移转化服务，鼓励区内龙头科技企业与高校院所联合设立技术转移机构，引进一批国内外知名的技术转移中心和科技成果转化平台，构建区内区外、国内国际贯通的技术转移网络枢纽，高度对接红开区内企业科技转化需求。加强科技服务功能和专业资源集成，构建从方案级、仿真级到初样级、正样级、环境级、产品级、系统级技术转化的一贯制服务生态和资源池。围绕关键元器件、关键零部件、轻工、医用专用材料、仪器设备系统集成等领域，集聚一批专业分销及技术解决方案提供商，搭建开发者社区、工程师社区、硬件交流平台等多元化生态，强化创新链深度技术服务。</w:t>
      </w:r>
    </w:p>
    <w:p w14:paraId="0A54CA90">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提升科技服务生态能级。</w:t>
      </w:r>
      <w:r>
        <w:rPr>
          <w:rFonts w:ascii="Times New Roman" w:hAnsi="Times New Roman" w:eastAsia="仿宋_GB2312" w:cs="Times New Roman"/>
          <w:color w:val="000000" w:themeColor="text1"/>
          <w:sz w:val="32"/>
          <w:szCs w:val="32"/>
        </w:rPr>
        <w:t>建设红开区科技创新云服务平台，对推动各类科技成果在平台登记，在装备制造、新材料、农产品深加工、新能源等领域实现技术交易信息实时监测、潜在技术交易供需信息实时发布以及新技术新产品（服务）定期在线发布等功能。园区企业根据产品需求，积极对接相关技术信息，促进供需对接，实现信息、设备、人才、技术等资源的共享，最大程度上减少企业生产研发的成本，提高企业科研、质控的质量和效率，提升企业产品在市场的竞争力。布局建设一批公益性和准公益性的公共技术平台，前瞻布局人机智能协同、云计算、未来网络工程等公共技术平台。着力培育技术经纪市场，发展创业孵化、科技咨询、技术标准、法律事务、商务会计、知识产权等业态，构建股权投资、科技信贷保险、知识产权金融、股权交易、小微金融等多领域金融机构协同服务的科技金融服务链。</w:t>
      </w:r>
    </w:p>
    <w:p w14:paraId="224020A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提升产学研合作水平。</w:t>
      </w:r>
      <w:r>
        <w:rPr>
          <w:rFonts w:ascii="Times New Roman" w:hAnsi="Times New Roman" w:eastAsia="仿宋_GB2312" w:cs="Times New Roman"/>
          <w:color w:val="000000" w:themeColor="text1"/>
          <w:sz w:val="32"/>
          <w:szCs w:val="32"/>
        </w:rPr>
        <w:t>深度融入“哈长平沈”东北科创走廊建设，强化科技创新顶层设计，建设科技战略高端智库，加强科技决策咨询数字化建设，及时研判前沿科技走向，引导产学研界走向全球视野、理念创新、科学方法论引领下的科技创新。制定实施红开区引进国家级大院强所三年行动计划，以四平红嘴经济开发区大学科技园为基础，深度建设科技服务产业园区，进一步成建制、成体系、机构化引进中科院、清华大学、北京大学、吉林大学等国家级大院强所，吸引省内高校和国内“双一流”高校设立产学研深度结合的顶尖研发平台或重点实验室。大力引进高水平研究机构和工业级实验室，推动央企、外资重点研发平台布局。引导依托4所大学（吉林师范大学、四平职业大学、吉林农业工程职业技术学院、吉林师范大学博达学院），集中资源力量做大做强急需学科，补齐关键专业短板，确保在高端装备制造、新材料、新能源、高端农产品研发、生物医药等领域给予红开区全面支持。</w:t>
      </w:r>
    </w:p>
    <w:p w14:paraId="0DAFBE0F">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3.深化科技体制机制改革</w:t>
      </w:r>
    </w:p>
    <w:p w14:paraId="569392ED">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加快科技创新体制机制改革，充分发挥国家级经开区制度优势和改革自主权，深入推进园区管理体制机制改革，围绕创新升级，结合新兴技术发展，探索园区科研管理新模式。</w:t>
      </w:r>
    </w:p>
    <w:p w14:paraId="50864468">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探索源头创新机制改革。</w:t>
      </w:r>
      <w:r>
        <w:rPr>
          <w:rFonts w:ascii="Times New Roman" w:hAnsi="Times New Roman" w:eastAsia="仿宋_GB2312" w:cs="Times New Roman"/>
          <w:color w:val="000000" w:themeColor="text1"/>
          <w:sz w:val="32"/>
          <w:szCs w:val="32"/>
        </w:rPr>
        <w:t>健全原始创新和基础研究经费资助体系，争取国家、省、市专项资金支持，积极引入社会资本。探索“科学装置+专业公司”建设运营模式，建设专业理事会或基金会领导下的科技设施有偿使用机制、政府购买服务机制以及数据、标准、知识产权（专利）、利益共享机制。</w:t>
      </w:r>
    </w:p>
    <w:p w14:paraId="7FC1B128">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转变科研立项管理机制。</w:t>
      </w:r>
      <w:r>
        <w:rPr>
          <w:rFonts w:ascii="Times New Roman" w:hAnsi="Times New Roman" w:eastAsia="仿宋_GB2312" w:cs="Times New Roman"/>
          <w:color w:val="000000" w:themeColor="text1"/>
          <w:sz w:val="32"/>
          <w:szCs w:val="32"/>
        </w:rPr>
        <w:t>建立常态化的政企科技创新咨询制度和主要由市场决定的科技项目遴选机制，试行重点科研项目“揭榜挂帅”机制，精简科研项目管理流程。探索实行非竞争性、竞争性“双轨制”科研经费投入机制。推行财政科技项目经费“包干制+负面清单”改革试点，建立以信任为前提的顶尖人才负责制，赋予高层次人才更大的用人权、用财权、用物权以及技术路线决定权、内部机构设置权和人才举荐权。</w:t>
      </w:r>
    </w:p>
    <w:p w14:paraId="13F2AE30">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优化科技转化体制机制。</w:t>
      </w:r>
      <w:r>
        <w:rPr>
          <w:rFonts w:ascii="Times New Roman" w:hAnsi="Times New Roman" w:eastAsia="仿宋_GB2312" w:cs="Times New Roman"/>
          <w:color w:val="000000" w:themeColor="text1"/>
          <w:sz w:val="32"/>
          <w:szCs w:val="32"/>
        </w:rPr>
        <w:t>鼓励推动科研机构设立股权多元化的技术转移转化平台，引导技术转移机构、生产制造企业、战略性投资基金等开展股权合作或联合投资，试行同股不同权制度。强化科技转移转化激励，建立突出创新质量、产业贡献的分类评价体系和绩效激励机制，探索政府资助项目科技成果专利权向发明人、设计人和中小企业转让的利益分配机制，建立多元主体参与科研成果转化的多元利益分配机制。完善财税金融支持创新体系，组建科技创新创业投资母基金，打造覆盖种子期投资、天使投资、风险投资、并购重组投资的基金体系，推动金融支持科技企业发展。</w:t>
      </w:r>
    </w:p>
    <w:p w14:paraId="0298AFEF">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4.引进培育科技人才</w:t>
      </w:r>
    </w:p>
    <w:p w14:paraId="6B4A524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实施创新人才集聚行动，以企业家、高层次创新人才、高技能人才建设为重点，实行开放、灵活、有效的人才政策，集聚一批专业化创新人才。</w:t>
      </w:r>
    </w:p>
    <w:p w14:paraId="2BE1A4C7">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加大人才引进培养力度。</w:t>
      </w:r>
      <w:r>
        <w:rPr>
          <w:rFonts w:ascii="Times New Roman" w:hAnsi="Times New Roman" w:eastAsia="仿宋_GB2312" w:cs="Times New Roman"/>
          <w:color w:val="000000" w:themeColor="text1"/>
          <w:sz w:val="32"/>
          <w:szCs w:val="32"/>
        </w:rPr>
        <w:t>引进以战略科学家为代表的高层次人才，大力集聚“高精尖缺”和“卡脖子”技术骨干人才。加强政校企合作，实施高层次科技人才定向培养工程。支持科研院校、企业通过顾问指导、退休返聘、短期兼职、技术入股等多种方式引进高层次人才。探索“科学家+企业家”发展模式，培育一批既懂科学技术、又懂经营管理的科学企业家队伍，鼓励科研人员转型成为技术经理人。强化“红开工匠”品牌建设，重点支持红嘴职业技术学校、四平市职业技术教育中心、四平市吉成职业技术学校等院校毕业人才“留在红开”。</w:t>
      </w:r>
    </w:p>
    <w:p w14:paraId="18A399C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加强人才制度政策创新。</w:t>
      </w:r>
      <w:r>
        <w:rPr>
          <w:rFonts w:ascii="Times New Roman" w:hAnsi="Times New Roman" w:eastAsia="仿宋_GB2312" w:cs="Times New Roman"/>
          <w:color w:val="000000" w:themeColor="text1"/>
          <w:sz w:val="32"/>
          <w:szCs w:val="32"/>
        </w:rPr>
        <w:t>健全“一事一议”重点扶持机制，强化对顶尖科技人才和具有颠覆性技术的创新创业团队的引进和激励。建立突出品质、能力和业绩导向的人才评价体系，对特别优秀人才开展“一事一议、随到随评”的综合评审。支持企业开展职称自主评审，争取高级职称评审权限，组建中高级职称评审委员会。</w:t>
      </w:r>
    </w:p>
    <w:p w14:paraId="0D6BEAAF">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优化人才服务保障环境。</w:t>
      </w:r>
      <w:r>
        <w:rPr>
          <w:rFonts w:ascii="Times New Roman" w:hAnsi="Times New Roman" w:eastAsia="仿宋_GB2312" w:cs="Times New Roman"/>
          <w:color w:val="000000" w:themeColor="text1"/>
          <w:sz w:val="32"/>
          <w:szCs w:val="32"/>
        </w:rPr>
        <w:t>面向高层次产业创新人才、高端创新创业团队和高技能人才，提升人才引进水平，优化人才发展环境。搭建“一站式”人才服务平台，提供人才认定申报、人才补贴申请等服务。实施精英服务计划，着力解决高端人才生活配套、子女入学等需求。扎实推进技术中介和经理人队伍建设，推动科技成果转化，促进技术转移，打通人才、科研院所技术供给方与企业技术需求方转移转化的渠道，健全技术转移服务机制，切实保障相关主体之间的利益，最终顺利实现技术转让、人才流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7739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E7E6E6" w:themeFill="background2"/>
          </w:tcPr>
          <w:p w14:paraId="3E7A476F">
            <w:pPr>
              <w:pStyle w:val="17"/>
              <w:ind w:left="0" w:leftChars="0" w:firstLine="0" w:firstLineChars="0"/>
              <w:rPr>
                <w:color w:val="000000" w:themeColor="text1"/>
              </w:rPr>
            </w:pPr>
            <w:r>
              <w:rPr>
                <w:rFonts w:eastAsia="黑体"/>
                <w:color w:val="000000" w:themeColor="text1"/>
                <w:sz w:val="28"/>
                <w:szCs w:val="28"/>
              </w:rPr>
              <w:t>专栏</w:t>
            </w:r>
            <w:r>
              <w:rPr>
                <w:rFonts w:hint="eastAsia" w:eastAsia="黑体"/>
                <w:sz w:val="28"/>
                <w:szCs w:val="28"/>
              </w:rPr>
              <w:t>9</w:t>
            </w:r>
            <w:r>
              <w:rPr>
                <w:rFonts w:eastAsia="黑体"/>
                <w:color w:val="000000" w:themeColor="text1"/>
                <w:sz w:val="28"/>
                <w:szCs w:val="28"/>
              </w:rPr>
              <w:t>：科技人才引育系列行动</w:t>
            </w:r>
          </w:p>
        </w:tc>
      </w:tr>
      <w:tr w14:paraId="0A29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5219AB9">
            <w:pPr>
              <w:pStyle w:val="17"/>
              <w:numPr>
                <w:ilvl w:val="0"/>
                <w:numId w:val="1"/>
              </w:numPr>
              <w:spacing w:beforeLines="50" w:afterLines="50" w:line="400" w:lineRule="exact"/>
              <w:ind w:leftChars="0" w:firstLineChars="0"/>
              <w:rPr>
                <w:b/>
                <w:bCs/>
                <w:color w:val="000000" w:themeColor="text1"/>
                <w:sz w:val="28"/>
                <w:szCs w:val="28"/>
              </w:rPr>
            </w:pPr>
            <w:r>
              <w:rPr>
                <w:b/>
                <w:bCs/>
                <w:color w:val="000000" w:themeColor="text1"/>
                <w:sz w:val="28"/>
                <w:szCs w:val="28"/>
              </w:rPr>
              <w:t>高端人才蓄力行动：</w:t>
            </w:r>
            <w:r>
              <w:rPr>
                <w:color w:val="000000" w:themeColor="text1"/>
                <w:sz w:val="28"/>
                <w:szCs w:val="28"/>
              </w:rPr>
              <w:t>开展高层次人才蓄力行动，大力实施柔性引才模式，以多种方式集聚“掌舵领航”的顶尖人才、关键人才。到2030年，落地引进领军团队1-3个，柔性引进领军人才3-5人。</w:t>
            </w:r>
          </w:p>
          <w:p w14:paraId="763F7A4B">
            <w:pPr>
              <w:pStyle w:val="17"/>
              <w:numPr>
                <w:ilvl w:val="0"/>
                <w:numId w:val="1"/>
              </w:numPr>
              <w:spacing w:beforeLines="50" w:afterLines="50" w:line="400" w:lineRule="exact"/>
              <w:ind w:leftChars="0" w:firstLineChars="0"/>
              <w:rPr>
                <w:b/>
                <w:bCs/>
                <w:color w:val="000000" w:themeColor="text1"/>
                <w:sz w:val="28"/>
                <w:szCs w:val="28"/>
              </w:rPr>
            </w:pPr>
            <w:r>
              <w:rPr>
                <w:b/>
                <w:bCs/>
                <w:color w:val="000000" w:themeColor="text1"/>
                <w:sz w:val="28"/>
                <w:szCs w:val="28"/>
              </w:rPr>
              <w:t>青年人才集聚行动：</w:t>
            </w:r>
            <w:r>
              <w:rPr>
                <w:color w:val="000000" w:themeColor="text1"/>
                <w:sz w:val="28"/>
                <w:szCs w:val="28"/>
              </w:rPr>
              <w:t>充分利用吉林省各类人才支持政策，出台青年人才创新创业专项扶持政策。支持企事业单位建设博士后工作站，提高博士后在站补助、科研资助等标准。到2030年，新引进硕士50人，新引进博士20人。</w:t>
            </w:r>
          </w:p>
          <w:p w14:paraId="3A0F3C6E">
            <w:pPr>
              <w:pStyle w:val="17"/>
              <w:numPr>
                <w:ilvl w:val="0"/>
                <w:numId w:val="1"/>
              </w:numPr>
              <w:spacing w:beforeLines="50" w:afterLines="50" w:line="400" w:lineRule="exact"/>
              <w:ind w:leftChars="0" w:firstLineChars="0"/>
              <w:rPr>
                <w:color w:val="000000" w:themeColor="text1"/>
              </w:rPr>
            </w:pPr>
            <w:r>
              <w:rPr>
                <w:b/>
                <w:bCs/>
                <w:color w:val="000000" w:themeColor="text1"/>
                <w:sz w:val="28"/>
                <w:szCs w:val="28"/>
              </w:rPr>
              <w:t>产业人才倍增行动：</w:t>
            </w:r>
            <w:r>
              <w:rPr>
                <w:color w:val="000000" w:themeColor="text1"/>
                <w:sz w:val="28"/>
                <w:szCs w:val="28"/>
              </w:rPr>
              <w:t>实施知识更新工程、技能提升行动，积极推动技能人才培训和工程师团队建设，壮大高水平工程师和高技能人才队伍。到2030年，建成高水平职业教育基地1个，新增技能大师工作室3家，高技能人才占技能人才总数比例超过35%。</w:t>
            </w:r>
          </w:p>
        </w:tc>
      </w:tr>
    </w:tbl>
    <w:p w14:paraId="2C67D000">
      <w:pPr>
        <w:spacing w:beforeLines="50" w:afterLines="50"/>
        <w:ind w:firstLine="640" w:firstLineChars="200"/>
        <w:outlineLvl w:val="1"/>
        <w:rPr>
          <w:rFonts w:ascii="Times New Roman" w:hAnsi="Times New Roman" w:eastAsia="楷体" w:cs="Times New Roman"/>
          <w:color w:val="000000" w:themeColor="text1"/>
          <w:sz w:val="32"/>
          <w:szCs w:val="32"/>
        </w:rPr>
      </w:pPr>
      <w:bookmarkStart w:id="40" w:name="_Toc15297"/>
      <w:r>
        <w:rPr>
          <w:rFonts w:ascii="Times New Roman" w:hAnsi="Times New Roman" w:eastAsia="楷体" w:cs="Times New Roman"/>
          <w:color w:val="000000" w:themeColor="text1"/>
          <w:sz w:val="32"/>
          <w:szCs w:val="32"/>
        </w:rPr>
        <w:t>（二）创新招商引资模式，推动项目建设提质增效</w:t>
      </w:r>
      <w:bookmarkEnd w:id="40"/>
    </w:p>
    <w:p w14:paraId="1E50610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坚持项目为王，统筹外资、民资、国资三资并举，招大引强，重点引进投资强度高、产出效益高、科技含量高、产业关联度高的“四高”项目。</w:t>
      </w:r>
      <w:bookmarkStart w:id="41" w:name="_Toc107778401"/>
    </w:p>
    <w:p w14:paraId="011ABCEC">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color w:val="000000" w:themeColor="text1"/>
          <w:sz w:val="32"/>
          <w:szCs w:val="40"/>
        </w:rPr>
        <w:t>1</w:t>
      </w:r>
      <w:r>
        <w:rPr>
          <w:rFonts w:ascii="Times New Roman" w:hAnsi="Times New Roman" w:eastAsia="仿宋_GB2312" w:cs="Times New Roman"/>
          <w:b/>
          <w:bCs/>
          <w:color w:val="000000" w:themeColor="text1"/>
          <w:sz w:val="32"/>
          <w:szCs w:val="32"/>
        </w:rPr>
        <w:t>.构建开发区招商引资新机制</w:t>
      </w:r>
    </w:p>
    <w:p w14:paraId="61181EC8">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瞄准世界500强和国内500强企业，尤其是符合红开区主导产业发展方向的企业积极进行项目对接，构建驻点招商、靶向招商新机制。</w:t>
      </w:r>
    </w:p>
    <w:p w14:paraId="42C03CC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构建围绕科技赋能抓招商机制。</w:t>
      </w:r>
      <w:r>
        <w:rPr>
          <w:rFonts w:ascii="Times New Roman" w:hAnsi="Times New Roman" w:eastAsia="仿宋_GB2312" w:cs="Times New Roman"/>
          <w:color w:val="000000" w:themeColor="text1"/>
          <w:sz w:val="32"/>
          <w:szCs w:val="32"/>
        </w:rPr>
        <w:t>重点打造数智化产业链招商平台，与联通公司深度合作，整合双方优势资源，借助先进的大数据分析、人工智能等技术，实现招商信息的实时获取与精准分析。精准识别链条中的弱链、断链、孤链等关键环节，明确强链、延链、补链方向。对潜在招商目标企业进行智能筛选、精准画像，解决“招谁、怎么招、谁来招”的核心问题。靶向对接产业链关键环节企业，实现产业资源与招商需求的精准匹配，推动招商工作从“广撒网”向“精准招”转变。</w:t>
      </w:r>
    </w:p>
    <w:p w14:paraId="5BEB4625">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构建围绕龙头企业抓招商机制。</w:t>
      </w:r>
      <w:r>
        <w:rPr>
          <w:rFonts w:ascii="Times New Roman" w:hAnsi="Times New Roman" w:eastAsia="仿宋_GB2312" w:cs="Times New Roman"/>
          <w:color w:val="000000" w:themeColor="text1"/>
          <w:sz w:val="32"/>
          <w:szCs w:val="32"/>
        </w:rPr>
        <w:t>分析行业优势、产能分布及战略布局等情况，确定建链、补链、延链、强链的方向，充分利用区内顺邦、艾斯克、康达等龙头企业的辐射作用，紧密与区域内企业家建立联系，绘制产业招商图谱，围绕研判筛选的目标企业，挖掘目标客户资源，有针对性地进行招大引强，吸引上下游产业链企业落户，争取引进一批投资规模大、带动效益强的优质合作项目，实现以商招商。</w:t>
      </w:r>
    </w:p>
    <w:p w14:paraId="62761D65">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构建围绕专业机构抓招商机制。</w:t>
      </w:r>
      <w:r>
        <w:rPr>
          <w:rFonts w:ascii="Times New Roman" w:hAnsi="Times New Roman" w:eastAsia="仿宋_GB2312" w:cs="Times New Roman"/>
          <w:color w:val="000000" w:themeColor="text1"/>
          <w:sz w:val="32"/>
          <w:szCs w:val="32"/>
        </w:rPr>
        <w:t>打造高素质专业化招商队伍，面向社会高薪聘任在相关领域具有丰富人脉资源、从业经验的招商顾问或团队，实行“基本工资+项目奖励”的薪酬制度，签订书面聘任合同，明确双方权利和义务。每年年终进行指标考核，聘期内考核合格的，给予续聘资格。积极探索“委托招商”新模式，引进一批优质项目、税源项目落户红开。</w:t>
      </w:r>
    </w:p>
    <w:p w14:paraId="3C86A1C0">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构建围绕资源抓招商机制。</w:t>
      </w:r>
      <w:r>
        <w:rPr>
          <w:rFonts w:ascii="Times New Roman" w:hAnsi="Times New Roman" w:eastAsia="仿宋_GB2312" w:cs="Times New Roman"/>
          <w:color w:val="000000" w:themeColor="text1"/>
          <w:sz w:val="32"/>
          <w:szCs w:val="32"/>
        </w:rPr>
        <w:t>加大对红开区的资源梳理，精准定位资源禀赋，充分扩大红开区自身自然资源、产业基础、人才储备的资源亮点宣传，提升招商吸引力。围绕闲置资源招商，针对区内的双停企业和闲置资产，注重盘活质量与体量，根据客商需求，有意识地进行资源匹配，实现“腾笼换鸟”；围绕标准化厂房招商，将标准化厂房建设作为承载优质项目、改善招商引资环境的重要资源。</w:t>
      </w:r>
    </w:p>
    <w:p w14:paraId="52C663C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构建围绕政策抓招商机制。</w:t>
      </w:r>
      <w:r>
        <w:rPr>
          <w:rFonts w:ascii="Times New Roman" w:hAnsi="Times New Roman" w:eastAsia="仿宋_GB2312" w:cs="Times New Roman"/>
          <w:color w:val="000000" w:themeColor="text1"/>
          <w:sz w:val="32"/>
          <w:szCs w:val="32"/>
        </w:rPr>
        <w:t>研究国家经济政策走向，用好、用足、用活国家、吉林省近期出台的一系列鼓励性政策及国家、地方扩内需促经济保增长方面给予的财政支持。借助农机研发制造推广应用一体化试点、承接吉西南产业转移示范区等政策支持，不断优化营商环境，利用好政策资源，抢抓时代机遇，以积极引进优质项目、促进产业升级、推动地方经济持续快速发展为核心目标，选派专业招商人员“带着政策”到重点区域开展针对性招商活动，建立与目标区域企业的紧密联系，切实提高招商引资的成功率和实效性，吸引更多企业投资落户，增强地方经济的活力和竞争力。</w:t>
      </w:r>
    </w:p>
    <w:p w14:paraId="58FA5FBD">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2.构建开发区项目建设</w:t>
      </w:r>
      <w:bookmarkEnd w:id="41"/>
      <w:r>
        <w:rPr>
          <w:rFonts w:ascii="Times New Roman" w:hAnsi="Times New Roman" w:eastAsia="仿宋_GB2312" w:cs="Times New Roman"/>
          <w:b/>
          <w:bCs/>
          <w:color w:val="000000" w:themeColor="text1"/>
          <w:sz w:val="32"/>
          <w:szCs w:val="32"/>
        </w:rPr>
        <w:t>新模式</w:t>
      </w:r>
    </w:p>
    <w:p w14:paraId="4CC789B4">
      <w:pPr>
        <w:ind w:firstLine="640" w:firstLineChars="200"/>
        <w:rPr>
          <w:rFonts w:ascii="Times New Roman" w:hAnsi="Times New Roman" w:eastAsia="仿宋_GB2312" w:cs="Times New Roman"/>
          <w:color w:val="000000" w:themeColor="text1"/>
          <w:sz w:val="32"/>
          <w:szCs w:val="32"/>
        </w:rPr>
      </w:pPr>
      <w:bookmarkStart w:id="42" w:name="_Toc107778402"/>
      <w:r>
        <w:rPr>
          <w:rFonts w:ascii="Times New Roman" w:hAnsi="Times New Roman" w:eastAsia="仿宋_GB2312" w:cs="Times New Roman"/>
          <w:color w:val="000000" w:themeColor="text1"/>
          <w:kern w:val="0"/>
          <w:sz w:val="32"/>
          <w:szCs w:val="32"/>
        </w:rPr>
        <w:t>坚持科学谋划，聚焦推进项目开工、达产达效，构建项目建设新模式，以持续有效投资为高质量发展增活力、强动能。</w:t>
      </w:r>
    </w:p>
    <w:p w14:paraId="69295A42">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32"/>
        </w:rPr>
        <w:t>健全项目管理服务机制。</w:t>
      </w:r>
      <w:r>
        <w:rPr>
          <w:rFonts w:ascii="Times New Roman" w:hAnsi="Times New Roman" w:eastAsia="仿宋_GB2312" w:cs="Times New Roman"/>
          <w:color w:val="000000" w:themeColor="text1"/>
          <w:sz w:val="32"/>
          <w:szCs w:val="32"/>
        </w:rPr>
        <w:t>聚焦中央和省政策支持方向、央企国企投资方向、园区产业发展方向，立足自身资源禀赋，突出高端装备制造产业、新能源产业、现代服务业等重点领域，精心谋划储备强基础、壮链条、补短板的重大项目，设立在建项目与谋划项目数据库，为后续管理提供信息化支持。从主要领导挂帅到项目单位具体办事人员，</w:t>
      </w:r>
      <w:r>
        <w:rPr>
          <w:rFonts w:ascii="Times New Roman" w:hAnsi="Times New Roman" w:eastAsia="仿宋_GB2312" w:cs="Times New Roman"/>
          <w:color w:val="000000" w:themeColor="text1"/>
          <w:sz w:val="32"/>
          <w:szCs w:val="40"/>
        </w:rPr>
        <w:t>建立管委会领导、项目单位负责人、部门负责人、项目秘书的“四级”联保项目推进模式，统筹推进项目前期手续办理，全链条为项目单位提供优质的领办代办服务，提升项目建设速度</w:t>
      </w:r>
      <w:r>
        <w:rPr>
          <w:rFonts w:ascii="Times New Roman" w:hAnsi="Times New Roman" w:eastAsia="仿宋_GB2312" w:cs="Times New Roman"/>
          <w:color w:val="000000" w:themeColor="text1"/>
          <w:sz w:val="32"/>
          <w:szCs w:val="32"/>
        </w:rPr>
        <w:t>实现全线贯通，统筹推进项目建设</w:t>
      </w:r>
      <w:r>
        <w:rPr>
          <w:rFonts w:ascii="Times New Roman" w:hAnsi="Times New Roman" w:eastAsia="仿宋_GB2312" w:cs="Times New Roman"/>
          <w:color w:val="000000" w:themeColor="text1"/>
          <w:sz w:val="32"/>
          <w:szCs w:val="40"/>
        </w:rPr>
        <w:t>。</w:t>
      </w:r>
    </w:p>
    <w:p w14:paraId="1074F6FF">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创新项目问题解决模式。</w:t>
      </w:r>
      <w:r>
        <w:rPr>
          <w:rFonts w:ascii="Times New Roman" w:hAnsi="Times New Roman" w:eastAsia="仿宋_GB2312" w:cs="Times New Roman"/>
          <w:color w:val="000000" w:themeColor="text1"/>
          <w:sz w:val="32"/>
          <w:szCs w:val="32"/>
        </w:rPr>
        <w:t>突出做好已签约项目</w:t>
      </w:r>
      <w:r>
        <w:rPr>
          <w:rFonts w:ascii="Times New Roman" w:hAnsi="Times New Roman" w:cs="Times New Roman"/>
          <w:color w:val="000000" w:themeColor="text1"/>
          <w:sz w:val="32"/>
          <w:szCs w:val="32"/>
        </w:rPr>
        <w:t>的</w:t>
      </w:r>
      <w:r>
        <w:rPr>
          <w:rFonts w:ascii="Times New Roman" w:hAnsi="Times New Roman" w:eastAsia="仿宋_GB2312" w:cs="Times New Roman"/>
          <w:color w:val="000000" w:themeColor="text1"/>
          <w:sz w:val="32"/>
          <w:szCs w:val="32"/>
        </w:rPr>
        <w:t>跟踪问效，推动项目尽快落地</w:t>
      </w:r>
      <w:r>
        <w:rPr>
          <w:rFonts w:ascii="Times New Roman" w:hAnsi="Times New Roman" w:cs="Times New Roman"/>
          <w:color w:val="000000" w:themeColor="text1"/>
          <w:sz w:val="32"/>
          <w:szCs w:val="32"/>
        </w:rPr>
        <w:t>。</w:t>
      </w:r>
      <w:r>
        <w:rPr>
          <w:rFonts w:ascii="Times New Roman" w:hAnsi="Times New Roman" w:eastAsia="仿宋_GB2312" w:cs="Times New Roman"/>
          <w:color w:val="000000" w:themeColor="text1"/>
          <w:sz w:val="32"/>
          <w:szCs w:val="32"/>
        </w:rPr>
        <w:t>对重点线索、已达成合作意向或签订框架协议的项目，建立跟进专班，实行“一对一”精准对接，争取早日签署正式合同。</w:t>
      </w:r>
      <w:r>
        <w:rPr>
          <w:rFonts w:ascii="Times New Roman" w:hAnsi="Times New Roman" w:eastAsia="仿宋_GB2312" w:cs="Times New Roman"/>
          <w:color w:val="000000" w:themeColor="text1"/>
          <w:sz w:val="32"/>
          <w:szCs w:val="40"/>
        </w:rPr>
        <w:t>实施过程控制、动态管理，</w:t>
      </w:r>
      <w:r>
        <w:rPr>
          <w:rFonts w:ascii="Times New Roman" w:hAnsi="Times New Roman" w:eastAsia="仿宋_GB2312" w:cs="Times New Roman"/>
          <w:color w:val="000000" w:themeColor="text1"/>
          <w:sz w:val="32"/>
          <w:szCs w:val="32"/>
        </w:rPr>
        <w:t>立足项目全生命周期服务，针对项目难点和堵点，及时协调解决，同时实行项目“预警考核+现场督办+进度通报”。构建落实以</w:t>
      </w:r>
      <w:r>
        <w:rPr>
          <w:rFonts w:ascii="Times New Roman" w:hAnsi="Times New Roman" w:eastAsia="仿宋_GB2312" w:cs="Times New Roman"/>
          <w:color w:val="000000" w:themeColor="text1"/>
          <w:sz w:val="32"/>
          <w:szCs w:val="40"/>
        </w:rPr>
        <w:t>“一对一”专班制度、代办专员制度、</w:t>
      </w:r>
      <w:r>
        <w:rPr>
          <w:rFonts w:ascii="Times New Roman" w:hAnsi="Times New Roman" w:eastAsia="仿宋_GB2312" w:cs="Times New Roman"/>
          <w:color w:val="000000" w:themeColor="text1"/>
          <w:sz w:val="32"/>
          <w:szCs w:val="32"/>
        </w:rPr>
        <w:t>调度例会制度、重大事项调度制度、项目现场办公制度、经济运行会议分析制度等为抓手，明确问题解决的措施办法、时间节点、责任部门，将问题纳入督办和考核体系，</w:t>
      </w:r>
      <w:r>
        <w:rPr>
          <w:rFonts w:ascii="Times New Roman" w:hAnsi="Times New Roman" w:eastAsia="仿宋_GB2312" w:cs="Times New Roman"/>
          <w:color w:val="000000" w:themeColor="text1"/>
          <w:sz w:val="32"/>
          <w:szCs w:val="40"/>
        </w:rPr>
        <w:t>抓验收进度、抓达产达效，逐个解决项目推进问题，</w:t>
      </w:r>
      <w:r>
        <w:rPr>
          <w:rFonts w:ascii="Times New Roman" w:hAnsi="Times New Roman" w:eastAsia="仿宋_GB2312" w:cs="Times New Roman"/>
          <w:color w:val="000000" w:themeColor="text1"/>
          <w:sz w:val="32"/>
          <w:szCs w:val="32"/>
        </w:rPr>
        <w:t>有效解决项目推进过程中遇到的难点和痛点。</w:t>
      </w:r>
    </w:p>
    <w:p w14:paraId="7D06FFE4">
      <w:pPr>
        <w:ind w:firstLine="640" w:firstLineChars="200"/>
        <w:rPr>
          <w:rFonts w:ascii="Times New Roman" w:hAnsi="Times New Roman" w:eastAsia="仿宋_GB2312" w:cs="Times New Roman"/>
          <w:b/>
          <w:bCs/>
          <w:color w:val="000000" w:themeColor="text1"/>
          <w:sz w:val="32"/>
          <w:szCs w:val="40"/>
        </w:rPr>
      </w:pPr>
      <w:r>
        <w:rPr>
          <w:rFonts w:ascii="Times New Roman" w:hAnsi="Times New Roman" w:eastAsia="仿宋_GB2312" w:cs="Times New Roman"/>
          <w:b/>
          <w:bCs/>
          <w:color w:val="000000" w:themeColor="text1"/>
          <w:sz w:val="32"/>
          <w:szCs w:val="40"/>
        </w:rPr>
        <w:t>保障项目建设用地需求。</w:t>
      </w:r>
      <w:r>
        <w:rPr>
          <w:rFonts w:ascii="Times New Roman" w:hAnsi="Times New Roman" w:eastAsia="仿宋_GB2312" w:cs="Times New Roman"/>
          <w:color w:val="000000" w:themeColor="text1"/>
          <w:sz w:val="32"/>
          <w:szCs w:val="40"/>
        </w:rPr>
        <w:t>加强土地指标统筹，对地价进行市场评估测算前期成本，优先保障土地利用率高、产出效益大的项目建设用地需求。协助做好土地征收成片开发方案和用地指标争取，以企业需求为导向，做好单层和多层相结合的标准化厂房储备，保证开发区大发展基本用地需求。强化开发区土地综合利用，鼓励建设项目用地优化设计、分层布局、复合利用。全面开展园区批而未供、闲置和工业低效土地全域治理攻坚行动，加大对闲置和低效用地项目的处置力度，引导企业通过并购重组、股权转让等方式激发活力，</w:t>
      </w:r>
      <w:r>
        <w:rPr>
          <w:rFonts w:ascii="Times New Roman" w:hAnsi="Times New Roman" w:eastAsia="仿宋_GB2312" w:cs="Times New Roman"/>
          <w:color w:val="000000" w:themeColor="text1"/>
          <w:sz w:val="32"/>
          <w:szCs w:val="32"/>
        </w:rPr>
        <w:t>对红开区内“三未土地”等低效用地实施“腾笼换鸟”，通过协商收储、“工业上楼”、引进高效项目等方式释放发展空间</w:t>
      </w:r>
      <w:r>
        <w:rPr>
          <w:rFonts w:ascii="Times New Roman" w:hAnsi="Times New Roman" w:eastAsia="仿宋_GB2312" w:cs="Times New Roman"/>
          <w:color w:val="000000" w:themeColor="text1"/>
          <w:sz w:val="32"/>
          <w:szCs w:val="40"/>
        </w:rPr>
        <w:t>。</w:t>
      </w:r>
    </w:p>
    <w:p w14:paraId="02AF661E">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设立重大项目扶持资金。</w:t>
      </w:r>
      <w:r>
        <w:rPr>
          <w:rFonts w:ascii="Times New Roman" w:hAnsi="Times New Roman" w:eastAsia="仿宋_GB2312" w:cs="Times New Roman"/>
          <w:color w:val="000000" w:themeColor="text1"/>
          <w:sz w:val="32"/>
          <w:szCs w:val="40"/>
        </w:rPr>
        <w:t>扶持资金用于支持红开区主导产业发展、引导产业集群集聚，提高区域经济竞争力，同时对新引进的产业转移项目，经评估投资强度、科技含量、经济贡献、发展前景等综合因素，给予项目相应奖励，助力招商引资和区域经济持续健康发展。</w:t>
      </w:r>
    </w:p>
    <w:bookmarkEnd w:id="42"/>
    <w:p w14:paraId="164EB189">
      <w:pPr>
        <w:spacing w:beforeLines="50" w:afterLines="50"/>
        <w:ind w:firstLine="640" w:firstLineChars="200"/>
        <w:outlineLvl w:val="1"/>
        <w:rPr>
          <w:rFonts w:ascii="Times New Roman" w:hAnsi="Times New Roman" w:eastAsia="楷体" w:cs="Times New Roman"/>
          <w:color w:val="000000" w:themeColor="text1"/>
          <w:sz w:val="32"/>
          <w:szCs w:val="32"/>
        </w:rPr>
      </w:pPr>
      <w:bookmarkStart w:id="43" w:name="_Toc9090"/>
      <w:r>
        <w:rPr>
          <w:rFonts w:ascii="Times New Roman" w:hAnsi="Times New Roman" w:eastAsia="楷体" w:cs="Times New Roman"/>
          <w:color w:val="000000" w:themeColor="text1"/>
          <w:sz w:val="32"/>
          <w:szCs w:val="32"/>
        </w:rPr>
        <w:t>（三）深化改革开放，创建一流发展环境</w:t>
      </w:r>
      <w:bookmarkEnd w:id="43"/>
    </w:p>
    <w:p w14:paraId="40FA5B3B">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坚持系统观念，推动有效市场和有为政府更好结合，切实将改革优势转为市场决胜之势，立足重点领域和关键环节，以创建全省开发区综合改革品牌为重点，深化区域合作，扩大对外贸易，推动形成东北地区投资首选地和最佳发展地。</w:t>
      </w:r>
    </w:p>
    <w:p w14:paraId="078BF617">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1.打造开发区综合改革品牌</w:t>
      </w:r>
      <w:bookmarkStart w:id="44" w:name="_Toc2066"/>
    </w:p>
    <w:p w14:paraId="16CE0B5B">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在建设高标准市场体系、服务型政府等领域开展战略战役性改革和引领型改革，引领示范全省开发区综合改革。</w:t>
      </w:r>
    </w:p>
    <w:p w14:paraId="0F03D222">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推进人事和薪酬制度改革。</w:t>
      </w:r>
      <w:r>
        <w:rPr>
          <w:rFonts w:ascii="Times New Roman" w:hAnsi="Times New Roman" w:eastAsia="仿宋_GB2312" w:cs="Times New Roman"/>
          <w:color w:val="000000" w:themeColor="text1"/>
          <w:sz w:val="32"/>
          <w:szCs w:val="32"/>
        </w:rPr>
        <w:t>在现有改革基础上，深入优化人事和薪酬制度。</w:t>
      </w:r>
      <w:r>
        <w:rPr>
          <w:rFonts w:ascii="Times New Roman" w:hAnsi="Times New Roman" w:eastAsia="仿宋_GB2312" w:cs="Times New Roman"/>
          <w:b/>
          <w:bCs/>
          <w:color w:val="000000" w:themeColor="text1"/>
          <w:sz w:val="32"/>
          <w:szCs w:val="32"/>
        </w:rPr>
        <w:t>实行岗位聘用制。</w:t>
      </w:r>
      <w:r>
        <w:rPr>
          <w:rFonts w:ascii="Times New Roman" w:hAnsi="Times New Roman" w:eastAsia="仿宋_GB2312" w:cs="Times New Roman"/>
          <w:color w:val="000000" w:themeColor="text1"/>
          <w:sz w:val="32"/>
          <w:szCs w:val="32"/>
        </w:rPr>
        <w:t>对现有事业编制、聘用合同制人员打破身份界限，按岗定薪、同工同酬，根据业务职能需要科学设置内设机构和工作岗位。除领导班子成员外，按照岗位公开、择岗自愿、竞争上岗原则，工作人员全部实行聘用制，在已经实行公开聘用基础上，依据法律法规签订书面聘用合同，聘期3年。</w:t>
      </w:r>
      <w:r>
        <w:rPr>
          <w:rFonts w:ascii="Times New Roman" w:hAnsi="Times New Roman" w:eastAsia="仿宋_GB2312" w:cs="Times New Roman"/>
          <w:b/>
          <w:bCs/>
          <w:color w:val="000000" w:themeColor="text1"/>
          <w:sz w:val="32"/>
          <w:szCs w:val="32"/>
        </w:rPr>
        <w:t>实行年薪和绩效工资制。</w:t>
      </w:r>
      <w:r>
        <w:rPr>
          <w:rFonts w:ascii="Times New Roman" w:hAnsi="Times New Roman" w:eastAsia="仿宋_GB2312" w:cs="Times New Roman"/>
          <w:color w:val="000000" w:themeColor="text1"/>
          <w:sz w:val="32"/>
          <w:szCs w:val="32"/>
        </w:rPr>
        <w:t>保持现行薪酬制度和标准不变，持续优化薪酬总额由年薪资、基础绩效工资、招商项目奖金三部分构成，加强绩效考核，全力打造质量效能突出、绩效科学量化、活力充分激发的新型管理体制和运行机制。养老保险、医疗保险、公积金等缴存核定按原模式原渠道执行，缴存基数按照原体系确定。每年单独设立招商项目奖金100万元，专项用于聘用社会招商专员、社会团体和对履约落地的项目引荐人进行招商项目奖励。</w:t>
      </w:r>
      <w:r>
        <w:rPr>
          <w:rFonts w:ascii="Times New Roman" w:hAnsi="Times New Roman" w:eastAsia="仿宋_GB2312" w:cs="Times New Roman"/>
          <w:b/>
          <w:bCs/>
          <w:color w:val="000000" w:themeColor="text1"/>
          <w:sz w:val="32"/>
          <w:szCs w:val="32"/>
        </w:rPr>
        <w:t>实行“档案封存”管理。</w:t>
      </w:r>
      <w:r>
        <w:rPr>
          <w:rFonts w:ascii="Times New Roman" w:hAnsi="Times New Roman" w:eastAsia="仿宋_GB2312" w:cs="Times New Roman"/>
          <w:color w:val="000000" w:themeColor="text1"/>
          <w:sz w:val="32"/>
          <w:szCs w:val="32"/>
        </w:rPr>
        <w:t>对管理委员会本级和所属事业单位（安全生产监察大队）在编人员实行档案封存，封存期间原工资停发、工龄连续计算，档案工资按照机关事业单位工资政策正常调整，享受事业单位职员等级晋升待遇。交流出红开区时“解封档案”，恢复原职务和等级。</w:t>
      </w:r>
    </w:p>
    <w:p w14:paraId="4E567056">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推行“管委会+公司”运营模式。</w:t>
      </w:r>
      <w:r>
        <w:rPr>
          <w:rFonts w:ascii="Times New Roman" w:hAnsi="Times New Roman" w:eastAsia="仿宋_GB2312" w:cs="Times New Roman"/>
          <w:color w:val="000000" w:themeColor="text1"/>
          <w:sz w:val="32"/>
          <w:szCs w:val="32"/>
        </w:rPr>
        <w:t>深入推进经济开发区体制改革，探索“管委会+公司”新型管理体制，实现社会事务管理机构和开发运营企业“双剥离”。探索推广政府推动、企业运营、市场运作、多元投入的开发模式，推行把建设、招商运营、管理和园区服务委托给市场主体的市场化运作方式，进一步厘清行政和经营权责，明确监管事项和报告流程的同时理顺经费审批、合同审批、工程经费审批等流程。强化开发区投融资平台管理，多渠道筹集园区建设资金，鼓励采取PPP等模式引导民营资本参与开发区建设。借助第三方咨询服务机构等专业“智囊团”，为开发区建设和发展提供全生命周期咨询服务。</w:t>
      </w:r>
    </w:p>
    <w:p w14:paraId="518793E2">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深入推进“综合性授权”改革。</w:t>
      </w:r>
      <w:r>
        <w:rPr>
          <w:rFonts w:ascii="Times New Roman" w:hAnsi="Times New Roman" w:eastAsia="仿宋_GB2312" w:cs="Times New Roman"/>
          <w:color w:val="000000" w:themeColor="text1"/>
          <w:sz w:val="32"/>
          <w:szCs w:val="32"/>
        </w:rPr>
        <w:t>按照国家、省相关要求推进经济管理权限下放事宜，在市政务中心设立红开区政务服务工作站，围绕制约改革发展的体制机制障碍，梳理形成若干批次综合授权改革事项，以清单形式批量申请省、市授权支持，提高项目行政审批效率，并适时承接相关市级行政审批权限下放工作。对标国内高标准市场规则体系，进一步深化“放管服”改革，打造稳定、公平、透明、可预期的营商环境，不断提高红开区营商投资管理和服务水平。主动对接市一级赋权部门对红开区赋权工作，明确红开区职责范围，依据赋权清单制定权力清单和责任清单并建立权责清单动态调整机制，持续加强赋权管理，切实提高红开区承接能力和审批效率，确保权力运行顺畅高效，进而优化行政审批流程，实现“园区事项园区内办结”。</w:t>
      </w:r>
    </w:p>
    <w:p w14:paraId="38511882">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促进各类市场主体制度改革。</w:t>
      </w:r>
      <w:r>
        <w:rPr>
          <w:rFonts w:ascii="Times New Roman" w:hAnsi="Times New Roman" w:eastAsia="仿宋_GB2312" w:cs="Times New Roman"/>
          <w:color w:val="000000" w:themeColor="text1"/>
          <w:sz w:val="32"/>
          <w:szCs w:val="32"/>
        </w:rPr>
        <w:t>全面落实外资准入制度，鼓励推动外资由加工制造向精密制造、研发创新领域加速布局，助力国内企业海外融资类项目在参与政府科研计划、申建重点实验室等方面享受同等待遇。释放民营企业活力，完善促进非公有制经济“两个健康”政策体系，弘扬企业家精神，依法平等保护民营企业产权和企业家权益。进一步扩大民营企业市场准入，在重大科技计划、资质评审认定、招投标等领域消除隐性壁垒。完善促进中小微企业和个体工商户发展的营商环境和政策体系。依法对符合条件的中小微企业按照规定实行缓征、减征、免征企业所得税、增值税等措施，简化税收征管程序，减轻小微企业税费负担。</w:t>
      </w:r>
    </w:p>
    <w:p w14:paraId="2AEADC48">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32"/>
        </w:rPr>
        <w:t>优化企业服务制度改革。</w:t>
      </w:r>
      <w:r>
        <w:rPr>
          <w:rFonts w:ascii="Times New Roman" w:hAnsi="Times New Roman" w:eastAsia="仿宋_GB2312" w:cs="Times New Roman"/>
          <w:color w:val="000000" w:themeColor="text1"/>
          <w:sz w:val="32"/>
          <w:szCs w:val="40"/>
        </w:rPr>
        <w:t>压实包保企业责任，为每个企业都明确一名包保干部，以部门为单位，成立帮扶团队，实现全区企业包保全覆盖。构建发现和解决问题责任机制，对问题建档立卡，由包保干部，帮扶团队，管委会全方位、分层级纵深推进解决，直至企业满意为止。加大帮扶企业力度，严格落实上级有关惠企政策，加强统筹调度，及时协调保障电力、土地等生产要素，努力为企业在投资、土地使用、人才引进、等方面给予最优服务。加强银企对接服务，持续放大中小企业融资担保专项基金作用，想方设法推动各类金融资源向区内企业倾斜，破解企业资金瓶颈制约。压缩企业运作成本，降低用电成本，利用四平市统筹风光资源，积极推动增量配电网项目，打造电价洼地、投资高地；降低用地成本，试点开展“标准地+承诺制”改革，完善土地出让标准体系，明确容积率、固定资产投资强度、能耗标准、亩均税收、环境标准等各类控制条件，提升土地节约集约利用水平。</w:t>
      </w:r>
    </w:p>
    <w:p w14:paraId="327F8E43">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2.推动对外开放形成新优势</w:t>
      </w:r>
    </w:p>
    <w:p w14:paraId="7AE38BD9">
      <w:pPr>
        <w:pStyle w:val="17"/>
        <w:spacing w:after="0"/>
        <w:ind w:left="0" w:leftChars="0" w:firstLine="640"/>
        <w:rPr>
          <w:color w:val="000000" w:themeColor="text1"/>
        </w:rPr>
      </w:pPr>
      <w:r>
        <w:rPr>
          <w:rFonts w:eastAsia="仿宋_GB2312"/>
          <w:color w:val="000000" w:themeColor="text1"/>
          <w:sz w:val="32"/>
          <w:szCs w:val="32"/>
        </w:rPr>
        <w:t>以深度融入长春现代化都市圈为引领，聚焦三大重点产业，深化区域合作，扩大贸易规模，拓宽开发区发展空间。</w:t>
      </w:r>
    </w:p>
    <w:p w14:paraId="1F0615E2">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深度融入长春现代化都市圈。</w:t>
      </w:r>
      <w:r>
        <w:rPr>
          <w:rFonts w:ascii="Times New Roman" w:hAnsi="Times New Roman" w:eastAsia="仿宋_GB2312" w:cs="Times New Roman"/>
          <w:color w:val="000000" w:themeColor="text1"/>
          <w:sz w:val="32"/>
          <w:szCs w:val="32"/>
        </w:rPr>
        <w:t>加快融入长平产业协作走廊。依托长春现代化都市圈“五个产业带”建设，精准嵌入长春现代化都市圈产业链，重点推进农产品深加工、新材料、装备制造、数字经济等产业与圈内相关开发区或产业园区加强合作，共同建设“产业云平台”“供应链协同系统”，在采购订单、产能外溢、原料需求、库存共享等方面建立供应链协同机制，形成产业发展生态，培育壮大重点产业集群。加快融入长平科创走廊。推动人才共享，与相关开发区创新型企业、研发机构、科研院所，探索推行“长春专家红开行”计划，建立完善长春专家、企业家、技术人才在红开兼职制度，出台跨市通勤补贴、科技研发成果转化收益分成等政策，柔性引进专业人才和创新成果，增强红开区发展动能。</w:t>
      </w:r>
    </w:p>
    <w:p w14:paraId="1BE4E830">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推动对外贸易提质扩容。</w:t>
      </w:r>
      <w:r>
        <w:rPr>
          <w:rFonts w:ascii="Times New Roman" w:hAnsi="Times New Roman" w:eastAsia="仿宋_GB2312" w:cs="Times New Roman"/>
          <w:color w:val="000000" w:themeColor="text1"/>
          <w:sz w:val="32"/>
          <w:szCs w:val="32"/>
        </w:rPr>
        <w:t>立足国际市场需求为导向，全力推进红开区外资外贸优势产品的项目合资与贸易合作，重点培育艾斯克畜禽屠宰自动化设备、康达农机自动播种机等现有对外经贸优势产品的推广合作，逐步打开国际市场以形成持续的外资外贸增量。制定出台外资外贸的鼓励政策，全力争取域外代理贸易回流，促进外资外贸在红开区实现规模化发展。紧抓俄罗斯远东地区加速开放、中俄贸易迅速发展的有利契机，加强与对俄专班合作共建，积极搭建外资外贸产品的境外代理平台，进一步整合外资外贸企业服务通道，为企业外资注入与外贸交易提供便利。建立外资外贸服务平台，充分发挥外资外贸促进局的职能作用，积极帮助企业做好海关、税务、银行及出口信保等方面的服务。</w:t>
      </w:r>
    </w:p>
    <w:p w14:paraId="1E5DBC2C">
      <w:pPr>
        <w:ind w:firstLine="640" w:firstLineChars="200"/>
        <w:rPr>
          <w:rFonts w:ascii="Times New Roman" w:hAnsi="Times New Roman" w:cs="Times New Roman"/>
          <w:color w:val="000000" w:themeColor="text1"/>
        </w:rPr>
      </w:pPr>
      <w:r>
        <w:rPr>
          <w:rFonts w:ascii="Times New Roman" w:hAnsi="Times New Roman" w:eastAsia="仿宋_GB2312" w:cs="Times New Roman"/>
          <w:b/>
          <w:bCs/>
          <w:color w:val="000000" w:themeColor="text1"/>
          <w:sz w:val="32"/>
          <w:szCs w:val="32"/>
        </w:rPr>
        <w:t>强化国内区域合作。</w:t>
      </w:r>
      <w:r>
        <w:rPr>
          <w:rFonts w:ascii="Times New Roman" w:hAnsi="Times New Roman" w:eastAsia="仿宋_GB2312" w:cs="Times New Roman"/>
          <w:color w:val="000000" w:themeColor="text1"/>
          <w:sz w:val="32"/>
          <w:szCs w:val="32"/>
        </w:rPr>
        <w:t>抢抓东北全面振兴的战略机遇，深度融入国家新一轮东北振兴政策体系，充分发挥吉西南产业转移示范区先行先试政策优势，聚焦汽车及零部件、农机及农机具等特色装备制造产业，加速构建现代化产业集群。依托长春—四平一体化协同发展机制，深度融入长春现代化都市圈建设，推动产业链上下游深度融合，强化区域协同创新，共同打造国家级高端装备制造基地。重点深化吉浙对口合作，创新“园区共建+飞地经济”合作模式，在浙江建立产业孵化基地，探索“研发在浙、制造在红开”的跨区域协作新路径。实施精准招引工程，围绕产业链薄弱环节建立目标企业库，重点对接长三角、珠三角地区头部企业，通过产业链招商、以商招商等形式，吸引整机制造、核心零部件等优质项目落户。同步完善产业配套体系，建设汽车零部件产业园、农机装备创新中心等平台载体，强化供应链本地化配套能力。</w:t>
      </w:r>
    </w:p>
    <w:bookmarkEnd w:id="44"/>
    <w:p w14:paraId="458FBDF6">
      <w:pPr>
        <w:spacing w:beforeLines="50" w:afterLines="50"/>
        <w:ind w:firstLine="640" w:firstLineChars="200"/>
        <w:outlineLvl w:val="1"/>
        <w:rPr>
          <w:rFonts w:ascii="Times New Roman" w:hAnsi="Times New Roman" w:eastAsia="楷体" w:cs="Times New Roman"/>
          <w:color w:val="000000" w:themeColor="text1"/>
          <w:sz w:val="32"/>
          <w:szCs w:val="32"/>
        </w:rPr>
      </w:pPr>
      <w:bookmarkStart w:id="45" w:name="_Toc21068"/>
      <w:r>
        <w:rPr>
          <w:rFonts w:ascii="Times New Roman" w:hAnsi="Times New Roman" w:eastAsia="楷体" w:cs="Times New Roman"/>
          <w:color w:val="000000" w:themeColor="text1"/>
          <w:sz w:val="32"/>
          <w:szCs w:val="32"/>
        </w:rPr>
        <w:t>（四）实施生态优先战略，推进绿色低碳发展</w:t>
      </w:r>
      <w:bookmarkEnd w:id="45"/>
    </w:p>
    <w:p w14:paraId="24E24A29">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坚持生态优先，以碳排放碳达峰为核心目标，依据生态格局统筹生产生活生态布局，促进社会、人口、环境、资源协调发展，率先建成全省国家级开发区生态文明建设示范区。</w:t>
      </w:r>
    </w:p>
    <w:p w14:paraId="14DC14E5">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1.持续推进污染防治攻坚</w:t>
      </w:r>
    </w:p>
    <w:p w14:paraId="47F64773">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强化多污染物协同控制与高效治理，逐步提升红开区的生态环境质量，不断满足人民日益增长的美丽生态环境需求。</w:t>
      </w:r>
    </w:p>
    <w:p w14:paraId="1E0FF8F4">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系统落实水环境综合整治。</w:t>
      </w:r>
      <w:r>
        <w:rPr>
          <w:rFonts w:ascii="Times New Roman" w:hAnsi="Times New Roman" w:eastAsia="仿宋_GB2312" w:cs="Times New Roman"/>
          <w:color w:val="000000" w:themeColor="text1"/>
          <w:sz w:val="32"/>
          <w:szCs w:val="40"/>
        </w:rPr>
        <w:t>统筹水资源、水生态、水环境治理，增加生态水。严格落实区域河道污染治理工作，全面排查污染源，实施截污纳管与污水处理工程，切实提升河道水质。大力实施节水工程，推进园区循环节约利用，开展中水回用试点。强化工业园区、重点企业等污染治理和清洁化改造，推进城镇农村污水处理设施提升，加强优良水体、饮用水源地保护和管理。</w:t>
      </w:r>
    </w:p>
    <w:p w14:paraId="2ABF4281">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持续加大空气污染防治力度。</w:t>
      </w:r>
      <w:r>
        <w:rPr>
          <w:rFonts w:ascii="Times New Roman" w:hAnsi="Times New Roman" w:eastAsia="仿宋_GB2312" w:cs="Times New Roman"/>
          <w:color w:val="000000" w:themeColor="text1"/>
          <w:sz w:val="32"/>
          <w:szCs w:val="40"/>
        </w:rPr>
        <w:t>加强颗粒物、臭氧、温室气体协同治理，突出碳排放强度和总量“双控”。加强重点污染源企业日常监督检查，确保工业企业污染物稳定达标排放，严格控制排放总量。强化无组织排放控制，升级废气综合治理系统。整治“散乱污”企业，加强移动源污染管控和道路扬尘治理。全面开展锅炉炉窑综合整治，推动区内生物质锅炉和烘干炉升级改造。</w:t>
      </w:r>
    </w:p>
    <w:p w14:paraId="094B9133">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扎实推进净土防治攻坚。</w:t>
      </w:r>
      <w:r>
        <w:rPr>
          <w:rFonts w:ascii="Times New Roman" w:hAnsi="Times New Roman" w:eastAsia="仿宋_GB2312" w:cs="Times New Roman"/>
          <w:color w:val="000000" w:themeColor="text1"/>
          <w:sz w:val="32"/>
          <w:szCs w:val="40"/>
        </w:rPr>
        <w:t>做好土壤污染源头管控，聚焦重点区域、行业和污染物，强化土壤污染治理和修复。实施农用地和建筑用地分级和分类管理，优先保护耕地土壤环境，严控新增土壤污染。健全固体废物信息化监管体系，加强白色污染治理，防范土壤污染风险。构建土壤环境基础数据库，建立土壤环境污染监测网络。</w:t>
      </w:r>
    </w:p>
    <w:p w14:paraId="48CF6A8C">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不断加强智慧环保建设。</w:t>
      </w:r>
      <w:r>
        <w:rPr>
          <w:rFonts w:ascii="Times New Roman" w:hAnsi="Times New Roman" w:eastAsia="仿宋_GB2312" w:cs="Times New Roman"/>
          <w:color w:val="000000" w:themeColor="text1"/>
          <w:sz w:val="32"/>
          <w:szCs w:val="40"/>
        </w:rPr>
        <w:t>加快建设污染物在线监测系统和监测联网平台，提升信息化水平和自动监测能力。建设环保大数据平台，畅通环保信息渠道，完善生态环境信息公开制度。强化生态环保监管，创新监督方式，推进对重点区域、行业、企业实施污染源自动监控，有效提升环境监管效能。全面实行排污许可制，推进排污权、用能权、用水权、碳排放市场化交易。建立健全环境风险防控与突发环境污染事件应急部门协调联动机制，妥善处置环境突发事件，维护生态环境安全。</w:t>
      </w:r>
    </w:p>
    <w:p w14:paraId="2D4CF75D">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2.持续推进产业绿色化发展</w:t>
      </w:r>
    </w:p>
    <w:p w14:paraId="0F5CB50C">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深化国家生态工业示范园区建设，推动企业加快建设绿色供应链、绿色工厂，持续完善“园区+供应链+企业”的绿色制造体系，推动源头减量。</w:t>
      </w:r>
    </w:p>
    <w:p w14:paraId="06D68642">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加强绿色技术研发与应用。</w:t>
      </w:r>
      <w:r>
        <w:rPr>
          <w:rFonts w:ascii="Times New Roman" w:hAnsi="Times New Roman" w:eastAsia="仿宋_GB2312" w:cs="Times New Roman"/>
          <w:color w:val="000000" w:themeColor="text1"/>
          <w:sz w:val="32"/>
          <w:szCs w:val="40"/>
        </w:rPr>
        <w:t>发挥科研机构、院校、行业协会创新引领作用，推动风能、太阳能、地热能、氢能等低碳新技术、新产品的创新研发和推广使用。鼓励行业协会、金融机构、技术产品供应商等通过综合平台实现绿色金融对接功能，降低企业碳减排成本，推动产业能耗水平达到先进水平。积极创建绿色工厂，全面推行绿色制造，加大先进节能环保技术、工艺和装备的研发力度，依托现有产业基础，重点开发绿色环保产品，高端机械制造产业谋划发展智能制造，新材料产业以节能、环保为导向，努力构建高效、清洁、低碳、循环的绿色制造体系。选择一批发展基础好、代表性强的优势骨干企业，创建一批具备用地集约化、生产洁净化、废物资源化、能源低碳化等特点的绿色工厂，在此基础上逐步展开绿色设计产品、绿色供应链和绿色园区的建设工作。</w:t>
      </w:r>
    </w:p>
    <w:p w14:paraId="58262B82">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深度推进产业领域“无废”。</w:t>
      </w:r>
      <w:r>
        <w:rPr>
          <w:rFonts w:ascii="Times New Roman" w:hAnsi="Times New Roman" w:eastAsia="仿宋_GB2312" w:cs="Times New Roman"/>
          <w:color w:val="000000" w:themeColor="text1"/>
          <w:sz w:val="32"/>
          <w:szCs w:val="40"/>
        </w:rPr>
        <w:t>积极推动园区产业升级，开展重点行业和重点领域绿色化改造，向高端制造、大健康等绿色产业领域发展，扎实推进产业生态化、生态产业化。持续完善政策体系，制定实施《工业园区无废建设实施指南》，构建清洁生产、小微企业危险废弃物循环利用和安全处置的良好政策环境。加快推进污水收集系统、污水处理、污泥焚烧热电联产、热电技改、天然气综合利用等循环经济基础设施建设项目，对开发区内运输道路、供水、供电、照明、通讯、建筑和环保等基础设施进行绿色化改造，绿色循环发展，积极构筑绿色生态安全网，促进各类基础设施共建共享、集成优化。主导产业间通过废物交换、能量利用和公用工程集成共享，探索形成绿色生态工业链，实现物质能量的循环代谢。</w:t>
      </w:r>
      <w:r>
        <w:rPr>
          <w:rFonts w:ascii="Times New Roman" w:hAnsi="Times New Roman" w:eastAsia="仿宋_GB2312" w:cs="Times New Roman"/>
          <w:color w:val="000000" w:themeColor="text1"/>
          <w:kern w:val="0"/>
          <w:sz w:val="31"/>
          <w:szCs w:val="31"/>
        </w:rPr>
        <w:t>加快培育发展节能环保产业，吸纳资源回收利用关键技术、创新型环保技术等外资企业入区发展。</w:t>
      </w:r>
      <w:r>
        <w:rPr>
          <w:rFonts w:ascii="Times New Roman" w:hAnsi="Times New Roman" w:eastAsia="仿宋_GB2312" w:cs="Times New Roman"/>
          <w:color w:val="000000" w:themeColor="text1"/>
          <w:sz w:val="32"/>
          <w:szCs w:val="40"/>
        </w:rPr>
        <w:t>支持优化厂区设计、推进厂区提高光伏利用率，因地制宜用好余热。实施二氧化碳排放达峰行动，谋划碳中和路径，推进低碳园区建设。做好源头管控，招商项目严把环保准入关，扎实推进清洁生产、促进生产生活方式绿色低碳转型，推广绿色消费。</w:t>
      </w:r>
    </w:p>
    <w:p w14:paraId="72F3E328">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3.持续强化能效全面化管理</w:t>
      </w:r>
    </w:p>
    <w:p w14:paraId="58AF0C83">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依法依规执行规划环境影响评价制度，严把项目准入标准，严格企业运行排放监管，对标国家先进标准或标杆水平，加强工业项目节能节水节地改造，坚决遏制高耗能、高排放、低水平项目盲目发展。</w:t>
      </w:r>
    </w:p>
    <w:p w14:paraId="65E2C3FD">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推进推广节约用水。</w:t>
      </w:r>
      <w:r>
        <w:rPr>
          <w:rFonts w:ascii="Times New Roman" w:hAnsi="Times New Roman" w:eastAsia="仿宋_GB2312" w:cs="Times New Roman"/>
          <w:color w:val="000000" w:themeColor="text1"/>
          <w:sz w:val="32"/>
          <w:szCs w:val="40"/>
        </w:rPr>
        <w:t>强化用水管理，大力推广先进节水工艺，推广高效节水型冷却塔、物料换热替代水冷却等先进节水技术的应用，重视项目引进和建设的水资源管理与控制。加强水资源的梯级使用，合理使用冷凝水、脱盐水、锅炉水、冷却水，根据不同的生产工艺，采用一水多用技术，形成厂内水资源的梯级利用体系。升级改造开发区污水处理厂，配套建设污水集中再生设施，进行废水再生循环利用。建立健全完善的综合评价体系和激励约束机制，加大工业及生活用水的节约力度，推进区内企业争创节水型企业。</w:t>
      </w:r>
    </w:p>
    <w:p w14:paraId="7E1D4A49">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推动节约用能。</w:t>
      </w:r>
      <w:r>
        <w:rPr>
          <w:rFonts w:ascii="Times New Roman" w:hAnsi="Times New Roman" w:eastAsia="仿宋_GB2312" w:cs="Times New Roman"/>
          <w:color w:val="000000" w:themeColor="text1"/>
          <w:sz w:val="32"/>
          <w:szCs w:val="40"/>
        </w:rPr>
        <w:t>围绕开发区主导产业，对年耗能1000吨标准煤以上的企业实行重点监控，加大企业能源清洁高效利用技术改造力度。加强节能减排重点工程建设。推动余热余压能源梯级利用，建立热岛中心统一调配各种压力的蒸汽供开发区企业使用，确保蒸汽能源在开发区实现梯级循环利用。积极实施企业内部余热余压综合利用改造、企业间余热共享和公共余热余压管廊管道建设项目，有效促进开发区余热余压综合利用。</w:t>
      </w:r>
    </w:p>
    <w:p w14:paraId="1B5023AC">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color w:val="000000" w:themeColor="text1"/>
          <w:sz w:val="32"/>
          <w:szCs w:val="40"/>
        </w:rPr>
        <w:t>4.</w:t>
      </w:r>
      <w:r>
        <w:rPr>
          <w:rFonts w:ascii="Times New Roman" w:hAnsi="Times New Roman" w:eastAsia="仿宋_GB2312" w:cs="Times New Roman"/>
          <w:b/>
          <w:bCs/>
          <w:color w:val="000000" w:themeColor="text1"/>
          <w:sz w:val="32"/>
          <w:szCs w:val="32"/>
        </w:rPr>
        <w:t>积极打造低碳园区</w:t>
      </w:r>
    </w:p>
    <w:p w14:paraId="70BBE2DE">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立足红开区装备制造产业基础和四平地区能源资源禀赋，以“低碳转型引领产业升级”为核心，构建“绿色能源供给-低碳制造生产-资源循环利用-智慧管理赋能”四位一体的低碳园区发展模式，打造东北地区装备制造领域低碳转型标杆企业。</w:t>
      </w:r>
    </w:p>
    <w:p w14:paraId="1489EEA5">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打造低碳工厂</w:t>
      </w:r>
      <w:r>
        <w:rPr>
          <w:rFonts w:hint="eastAsia" w:ascii="Times New Roman" w:hAnsi="Times New Roman" w:eastAsia="仿宋_GB2312" w:cs="Times New Roman"/>
          <w:b/>
          <w:bCs/>
          <w:color w:val="000000" w:themeColor="text1"/>
          <w:sz w:val="32"/>
          <w:szCs w:val="32"/>
        </w:rPr>
        <w:t>。</w:t>
      </w:r>
      <w:r>
        <w:rPr>
          <w:rFonts w:hint="eastAsia" w:ascii="Times New Roman" w:hAnsi="Times New Roman" w:eastAsia="仿宋_GB2312" w:cs="Times New Roman"/>
          <w:color w:val="000000" w:themeColor="text1"/>
          <w:sz w:val="32"/>
          <w:szCs w:val="32"/>
        </w:rPr>
        <w:t>推动存量企业</w:t>
      </w:r>
      <w:r>
        <w:rPr>
          <w:rFonts w:ascii="Times New Roman" w:hAnsi="Times New Roman" w:eastAsia="仿宋_GB2312" w:cs="Times New Roman"/>
          <w:color w:val="000000" w:themeColor="text1"/>
          <w:sz w:val="32"/>
          <w:szCs w:val="32"/>
        </w:rPr>
        <w:t>开展节能改造</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针对园区规上装备制造企业开展全面能效碳效诊断，重点针对铸造、热处理等高耗能环节，实施窑炉改造、电机系统优化、余热余压回收等工程，推广先进节能技术和装备，从能源消费、生产工艺、废弃物处理等全流程推进脱碳改造，确保企业能效达到行业先进水平。</w:t>
      </w:r>
    </w:p>
    <w:p w14:paraId="07835F21">
      <w:pPr>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bCs/>
          <w:color w:val="000000" w:themeColor="text1"/>
          <w:sz w:val="32"/>
          <w:szCs w:val="32"/>
        </w:rPr>
        <w:t>创新低碳管理模式。</w:t>
      </w:r>
      <w:r>
        <w:rPr>
          <w:rFonts w:ascii="Times New Roman" w:hAnsi="Times New Roman" w:eastAsia="仿宋_GB2312" w:cs="Times New Roman"/>
          <w:color w:val="000000" w:themeColor="text1"/>
          <w:sz w:val="32"/>
          <w:szCs w:val="32"/>
        </w:rPr>
        <w:t>依托数智化再生资源综合服务平台建设，重点推动废钢铁、废零部件等再生资源回收加工，与园区装备制造企业建立协同利用机制，实现固废“就地回收、就地加工、就地利用”。依托数字孪生、物联网等技术，建设覆盖园区全部用能企业和公共设施的智慧能碳管理平台，整合能耗监测、碳排放核算、绿电交易、应急调度等功能，实现用能负荷分钟级监控和碳排放实时核算。</w:t>
      </w:r>
    </w:p>
    <w:p w14:paraId="6CB790D9">
      <w:pPr>
        <w:ind w:firstLine="640" w:firstLineChars="200"/>
        <w:rPr>
          <w:rFonts w:ascii="Times New Roman" w:hAnsi="Times New Roman" w:eastAsia="仿宋_GB2312" w:cs="Times New Roman"/>
          <w:color w:val="000000" w:themeColor="text1"/>
          <w:sz w:val="32"/>
          <w:szCs w:val="40"/>
        </w:rPr>
      </w:pPr>
      <w:r>
        <w:rPr>
          <w:rFonts w:hint="eastAsia" w:ascii="Times New Roman" w:hAnsi="Times New Roman" w:eastAsia="仿宋_GB2312" w:cs="Times New Roman"/>
          <w:b/>
          <w:bCs/>
          <w:color w:val="000000" w:themeColor="text1"/>
          <w:sz w:val="32"/>
          <w:szCs w:val="32"/>
        </w:rPr>
        <w:t>构建低碳管理机制。</w:t>
      </w:r>
      <w:r>
        <w:rPr>
          <w:rFonts w:hint="eastAsia" w:ascii="Times New Roman" w:hAnsi="Times New Roman" w:eastAsia="仿宋_GB2312" w:cs="Times New Roman"/>
          <w:color w:val="000000" w:themeColor="text1"/>
          <w:sz w:val="32"/>
          <w:szCs w:val="32"/>
        </w:rPr>
        <w:t>成立绿电园区产业专班，依托红开区瑞德公司与四平益风智慧能源服务有限公司深度合作，共建绿电园区，规划统筹绿电直供、分布式光伏、储能配套等基础设施布局，</w:t>
      </w:r>
      <w:r>
        <w:rPr>
          <w:rFonts w:ascii="Times New Roman" w:hAnsi="Times New Roman" w:eastAsia="仿宋_GB2312" w:cs="Times New Roman"/>
          <w:color w:val="000000" w:themeColor="text1"/>
          <w:sz w:val="32"/>
          <w:szCs w:val="32"/>
        </w:rPr>
        <w:t>推进绿电直供与管网升级，争取纳入省级绿电直供试点，建设新能源就近接入增量配电网工程，搭建专用绿电传输通道，保障园区企业绿电稳定供应。</w:t>
      </w:r>
    </w:p>
    <w:p w14:paraId="2DBD1E08">
      <w:pPr>
        <w:spacing w:beforeLines="50" w:afterLines="50"/>
        <w:ind w:firstLine="640" w:firstLineChars="200"/>
        <w:outlineLvl w:val="1"/>
        <w:rPr>
          <w:rFonts w:ascii="Times New Roman" w:hAnsi="Times New Roman" w:eastAsia="楷体" w:cs="Times New Roman"/>
          <w:color w:val="000000" w:themeColor="text1"/>
          <w:sz w:val="32"/>
          <w:szCs w:val="32"/>
        </w:rPr>
      </w:pPr>
      <w:bookmarkStart w:id="46" w:name="_Toc14277"/>
      <w:bookmarkStart w:id="47" w:name="_Toc30072"/>
      <w:r>
        <w:rPr>
          <w:rFonts w:ascii="Times New Roman" w:hAnsi="Times New Roman" w:eastAsia="楷体" w:cs="Times New Roman"/>
          <w:color w:val="000000" w:themeColor="text1"/>
          <w:sz w:val="32"/>
          <w:szCs w:val="32"/>
        </w:rPr>
        <w:t>（五）提升就业质量，建设活力红开</w:t>
      </w:r>
      <w:bookmarkEnd w:id="46"/>
      <w:bookmarkEnd w:id="47"/>
    </w:p>
    <w:p w14:paraId="25D49D82">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坚持以人民为中心的发展思想，实施就业优先战略，面向园区重点企业需求，优化政策供给，打造全面、有效的就业创业服务体系，推动实现就业规模稳步扩大、就业质量进一步提升。</w:t>
      </w:r>
    </w:p>
    <w:p w14:paraId="5CA8994B">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1.推动实现更充分更高质量就业</w:t>
      </w:r>
    </w:p>
    <w:p w14:paraId="4756A235">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贯彻落实就业优先发展战略，坚持经济发展和就业工作相互促进，增强经济增长对就业的带动作用。统筹推进各类重点群体就业，努力在充分就业的基础上实现更高质量的就业。</w:t>
      </w:r>
    </w:p>
    <w:p w14:paraId="417D4834">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强化就业优先政策。</w:t>
      </w:r>
      <w:r>
        <w:rPr>
          <w:rFonts w:ascii="Times New Roman" w:hAnsi="Times New Roman" w:eastAsia="仿宋_GB2312" w:cs="Times New Roman"/>
          <w:color w:val="000000" w:themeColor="text1"/>
          <w:sz w:val="32"/>
          <w:szCs w:val="40"/>
        </w:rPr>
        <w:t>坚持实施就业优先战略，以推动就业工作重心向高质量就业转变为导向，建立和完善全方位的促进就业政策体系。发挥开发区管委会的牵头协调推动作用，加强财税、金融、产业、贸易、投资等重大经济政策与就业政策的配套衔接，推进经济发展与就业扩量提质互促共进。</w:t>
      </w:r>
    </w:p>
    <w:p w14:paraId="2BB86C36">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推进公共就业服务智慧化建设。</w:t>
      </w:r>
      <w:r>
        <w:rPr>
          <w:rFonts w:ascii="Times New Roman" w:hAnsi="Times New Roman" w:eastAsia="仿宋_GB2312" w:cs="Times New Roman"/>
          <w:color w:val="000000" w:themeColor="text1"/>
          <w:sz w:val="32"/>
          <w:szCs w:val="40"/>
        </w:rPr>
        <w:t>落实推进政务服务“一网通办”各项要求，全面梳理公共就业服务事项，加快推进区级高频服务事项入网，持续推进业务流程革命性再造，稳步提高全程网办率。同时，结合电子证照、电子印章、电子劳动合同等使用，进一步简化各类受理材料和流程，实现不见面审批，全面提升用户体验。持续完善线上招聘、线上求职等线上公共就业服务，采用各类新技术，优化、整合原有各类就业信息系统，建设形成互联互通、业务协同、信息共享的大系统。</w:t>
      </w:r>
    </w:p>
    <w:p w14:paraId="49D94CD4">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大力拓展就业新空间。</w:t>
      </w:r>
      <w:r>
        <w:rPr>
          <w:rFonts w:ascii="Times New Roman" w:hAnsi="Times New Roman" w:eastAsia="仿宋_GB2312" w:cs="Times New Roman"/>
          <w:color w:val="000000" w:themeColor="text1"/>
          <w:sz w:val="32"/>
          <w:szCs w:val="40"/>
        </w:rPr>
        <w:t>在努力稳定已有就业岗位的基础上，结合开发区特色装备制造、新型材料等重点产业发展，创新岗位拓展方式，提高就业岗位供给数量和质量。大力推进新兴产业发展，支持发展新就业形态，鼓励劳动者多渠道灵活就业。主动抓住新经济机遇，主动适应跨境电商、直播带货等新经济行业，加强就业信息匹配、培训项目开发和实施、就业跟踪等全系列的就业服务管理，使之成为红开区促进产业转型升级、提升就业质量的新抓手、新动力。</w:t>
      </w:r>
    </w:p>
    <w:p w14:paraId="312004FF">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全力保障重点群体就业。</w:t>
      </w:r>
      <w:r>
        <w:rPr>
          <w:rFonts w:ascii="Times New Roman" w:hAnsi="Times New Roman" w:eastAsia="仿宋_GB2312" w:cs="Times New Roman"/>
          <w:color w:val="000000" w:themeColor="text1"/>
          <w:sz w:val="32"/>
          <w:szCs w:val="40"/>
        </w:rPr>
        <w:t>坚持精准发力与靶向施策，探索协调推进各类重点群体就业工作的新方式和新办法。结合高校毕业生就业服务月、大学生就业创业服务周、“面试会周周到”等专项活动，结合开发区内企业用人需求，推进应届毕业生、长期失业青年等重点人群实现就业。进一步完善就业援助工作机制，加强对就业困难人员的帮扶，鼓励通过市场化方式促进就业困难人员就业和到特定的行业和产业就业，并强化对残疾人、刑释解矫人员、社区戒毒康复人员等特殊群体的就业援助，提升对就业困难人员就业援助的实效性。</w:t>
      </w:r>
    </w:p>
    <w:p w14:paraId="56E7B78D">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32"/>
        </w:rPr>
        <w:t>2.赋能创业带动就业新格局</w:t>
      </w:r>
    </w:p>
    <w:p w14:paraId="51274044">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实施鼓励创业带动就业升级行动，以“扩就业”为目标，全面落实覆盖创业全过程的创业扶持政策，改善创业企业生存发展环境，提升创业带动就业的倍增效应。</w:t>
      </w:r>
    </w:p>
    <w:p w14:paraId="681D2A34">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深入推进创业型开发区建设。</w:t>
      </w:r>
      <w:r>
        <w:rPr>
          <w:rFonts w:ascii="Times New Roman" w:hAnsi="Times New Roman" w:eastAsia="仿宋_GB2312" w:cs="Times New Roman"/>
          <w:color w:val="000000" w:themeColor="text1"/>
          <w:sz w:val="32"/>
          <w:szCs w:val="40"/>
        </w:rPr>
        <w:t>坚持“明确区域定位、优势资源聚焦”目标，结合红开区实际探索实施“机制+政策+服务”的全过程创业扶持模式，推进鼓励创业带动就业升级行动。积极开展创业型企业创建活动，选树创业主体先进典型，形成开发区创业品牌。</w:t>
      </w:r>
    </w:p>
    <w:p w14:paraId="7E148197">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积极推进特色创业生态圈建设。</w:t>
      </w:r>
      <w:r>
        <w:rPr>
          <w:rFonts w:ascii="Times New Roman" w:hAnsi="Times New Roman" w:eastAsia="仿宋_GB2312" w:cs="Times New Roman"/>
          <w:color w:val="000000" w:themeColor="text1"/>
          <w:sz w:val="32"/>
          <w:szCs w:val="40"/>
        </w:rPr>
        <w:t>充分利用四平红嘴大学科技园的特色优势，推进创业孵化示范基地建设，鼓励和引导创业园区、众创空间积极发挥自身资源和优势，向专业化、精细化、高质量方向升级。依托中心城区的经济环境优势，深入推进“新活力”创新创业专项行动计划，探索打造大中小企业协同发展新平台，形成一批促进创业带动就业的示范项目和成果。</w:t>
      </w:r>
    </w:p>
    <w:p w14:paraId="172833FE">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统筹推进多层次创业服务平台建设。</w:t>
      </w:r>
      <w:r>
        <w:rPr>
          <w:rFonts w:ascii="Times New Roman" w:hAnsi="Times New Roman" w:eastAsia="仿宋_GB2312" w:cs="Times New Roman"/>
          <w:color w:val="000000" w:themeColor="text1"/>
          <w:sz w:val="32"/>
          <w:szCs w:val="40"/>
        </w:rPr>
        <w:t>按照创建多层次创业服务平台的要求，注重发挥市场的力量，引进和引导专业化的社会创业服务机构的集聚与发展，进一步探索与社会创业服务机构的合作，着力在“精细化、精准化、精品化”上挖掘创业服务工作特色，聚焦重点人群和孵化培育，为各类创业者提供丰富、专业、高效的第三方服务。充分发挥市、区创业指导专家志愿者的力量，发挥有关行业协会、创业指导专家团队等专业团队力量，提升创业指导服务的针对性和专业化。</w:t>
      </w:r>
    </w:p>
    <w:p w14:paraId="17206D9E">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32"/>
        </w:rPr>
        <w:t>3.扩大职业技能培训规模</w:t>
      </w:r>
    </w:p>
    <w:p w14:paraId="3F0064E6">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结合开发区重点产业需求，推进职业技能培训转型发展，提升劳动者技能素质，加快实现技能人才“强供给”，助力区域发展和技能提升双驱动。</w:t>
      </w:r>
    </w:p>
    <w:p w14:paraId="250F3C72">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加快职业技能培训转型发展。</w:t>
      </w:r>
      <w:r>
        <w:rPr>
          <w:rFonts w:ascii="Times New Roman" w:hAnsi="Times New Roman" w:eastAsia="仿宋_GB2312" w:cs="Times New Roman"/>
          <w:color w:val="000000" w:themeColor="text1"/>
          <w:sz w:val="32"/>
          <w:szCs w:val="40"/>
        </w:rPr>
        <w:t>加快职业技能培训由“供给导向型”向“市场导向型”转换，围绕红开区重点产业建设，结合市场紧缺需求，探索建立培训项目对接区域产业发展的动态调整机制，进一步挖掘开发区经济社会发展特别是企业发展对职业培训与技能人才的市场需求，探索支持高端服务业产业的企业职工职业能力提升项目，推出红开区重点领域技能提升职业目录，统筹开发和推出一批新技能培训项目。</w:t>
      </w:r>
    </w:p>
    <w:p w14:paraId="084CD74A">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不断创新职业技能培训形式。</w:t>
      </w:r>
      <w:r>
        <w:rPr>
          <w:rFonts w:ascii="Times New Roman" w:hAnsi="Times New Roman" w:eastAsia="仿宋_GB2312" w:cs="Times New Roman"/>
          <w:color w:val="000000" w:themeColor="text1"/>
          <w:sz w:val="32"/>
          <w:szCs w:val="40"/>
        </w:rPr>
        <w:t>加强数字培训资源建设，探索“互联网+”线上线下融合职业技能培训新模式。推行“招工即招生、入企即入校、企校双师联合培养”模式，大力推进企业新型学徒制培养。结合大数据、5G运营，鼓励培训机构探索多样化培训方式，通过精准化项目开发、个性化培训服务、大规模培训投入以及技能提升计划的实施，提升劳动者职业技能素质，提高劳动生产率，为红开区经济发展提供坚实支撑。</w:t>
      </w:r>
    </w:p>
    <w:p w14:paraId="5083ED17">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32"/>
        </w:rPr>
        <w:t>4.构建和谐稳定劳动关系</w:t>
      </w:r>
    </w:p>
    <w:p w14:paraId="1089F3AE">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加强统筹协调和多方联动，形成工作合力，优化源头治理、动态管理、应急处置相结合的“防风险”工作机制，正确处理好促进企业发展和维护职工权益的关系，构建稳定和谐的劳动关系。</w:t>
      </w:r>
    </w:p>
    <w:p w14:paraId="53176F59">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
          <w:bCs/>
          <w:color w:val="000000" w:themeColor="text1"/>
          <w:sz w:val="32"/>
          <w:szCs w:val="40"/>
        </w:rPr>
        <w:t>健全协调劳动关系的体制机制。</w:t>
      </w:r>
      <w:r>
        <w:rPr>
          <w:rFonts w:ascii="Times New Roman" w:hAnsi="Times New Roman" w:eastAsia="仿宋_GB2312" w:cs="Times New Roman"/>
          <w:color w:val="000000" w:themeColor="text1"/>
          <w:sz w:val="32"/>
          <w:szCs w:val="40"/>
        </w:rPr>
        <w:t>完善协调劳动关系三方机制建设，积极支持各级工会和企业组织提升代表性，增强三方协调工作的实效性。全面推进集体协商制度建立，有效落实企业集体劳动合同建立。在开发区各类企业中开展“和谐劳动关系”示范创建活动，充分发挥和谐劳动关系创建活动的示范引领作用，确保红开区和谐劳动关系达标企业数量保持稳中有升。探索新业态用工的劳动关系，支持和规范新业态用工的健康发展。加大对企业劳动关系法律政策的指导和服务力度，营造良好的企业用工环境。</w:t>
      </w:r>
    </w:p>
    <w:p w14:paraId="39951404">
      <w:pPr>
        <w:spacing w:beforeLines="50" w:afterLines="50"/>
        <w:ind w:firstLine="640" w:firstLineChars="200"/>
        <w:outlineLvl w:val="1"/>
        <w:rPr>
          <w:rFonts w:ascii="Times New Roman" w:hAnsi="Times New Roman" w:eastAsia="楷体" w:cs="Times New Roman"/>
          <w:color w:val="000000" w:themeColor="text1"/>
          <w:sz w:val="32"/>
          <w:szCs w:val="32"/>
        </w:rPr>
      </w:pPr>
      <w:bookmarkStart w:id="48" w:name="_Toc6214"/>
      <w:r>
        <w:rPr>
          <w:rFonts w:ascii="Times New Roman" w:hAnsi="Times New Roman" w:eastAsia="楷体" w:cs="Times New Roman"/>
          <w:color w:val="000000" w:themeColor="text1"/>
          <w:sz w:val="32"/>
          <w:szCs w:val="32"/>
        </w:rPr>
        <w:t>（六）完善基础设施，打造产城融合示范区</w:t>
      </w:r>
      <w:bookmarkEnd w:id="48"/>
    </w:p>
    <w:p w14:paraId="3B80FBE1">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积极融入铁西区“城乡融合示范板块”建设，设立红开区基础设施建设高标准要求，在平整园区土地的基础上，加快完善道路、雨水、污水、自来水、天然气、电力、电信、热力等配套设施，不断升级开发区承载能力，打造吉林省开发区基础设施“九通一平”新样板。</w:t>
      </w:r>
    </w:p>
    <w:p w14:paraId="08259DE7">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1.加快提升园区微更新</w:t>
      </w:r>
    </w:p>
    <w:p w14:paraId="05CAD660">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加快推进园区微更新，全面提升道路景观、交通功能、市政公用设施，着力塑造有辨识度的时尚风貌。全力推进开发区绿化、亮化提升工程，突出项目建设主题，选择适宜绿化品种，打造独具特色、错落有致的立体式绿化景观，不断提升园区整体绿化效果。以园区沿线有品牌、上规模、有特色的企业为重点，结合道路照明、信号灯建设，以点带面，组织推进实施园区企业亮化工程。</w:t>
      </w:r>
    </w:p>
    <w:p w14:paraId="53092A34">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2.有效强化交通路网建设</w:t>
      </w:r>
    </w:p>
    <w:p w14:paraId="1F8E23FB">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积极对接区域大交通，强化开发区与周边地区的交通联系。推进文畅路（慧智街-迎宾街）、文凯路（启翔型材东墙-迎宾街）、文博路（慧智街-迎宾街）、康平路（红嘴东街-慧智街），红嘴东街（文凯路-文博路）、友谊街（文硕路-康平路）等市政道路新建完善，形成“四横两纵”路网。加强园区市政道路破损修复与质量提升，破解道路难题，打通全路网系统。打造数字化交通路网，加快建设智慧城市数字交通能源项目、智慧城市数字交通服务项目，进一步完善交通服务体系。</w:t>
      </w:r>
    </w:p>
    <w:p w14:paraId="2BFFFD31">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3.全面完善市政设施建设</w:t>
      </w:r>
    </w:p>
    <w:p w14:paraId="4BC9A39A">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完善园区电力、燃气、供热、供水、通信、消防、治污等基础设施。推动建设四平红嘴经济技术开发区道路排水建设项目，加快文凯路、文博路、红嘴东街、文畅路、友谊街、虹桥街、开平街等道路雨污分流管网改造。有序推进四平红嘴经济技术开发区（含原四平循环经济示范区）污水管网提升改造工程，争取四平红嘴经济技术开发区污水管网建设项目早日完成，提升园区污水处理效率。加快完善电力基础设施建设，新建电力设施维修综合楼及检修试验大厅等，并提升电力供应质量，推动园区实现双回路供电。加快推进全域供热管网排布，力争实现集中供热全覆盖。加快标准化厂房及配套设施建设，解决入驻企业租住难题。</w:t>
      </w:r>
    </w:p>
    <w:p w14:paraId="2495F045">
      <w:pPr>
        <w:ind w:firstLine="640"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4.积极推进智慧园区建设</w:t>
      </w:r>
    </w:p>
    <w:p w14:paraId="7F5A9BF7">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利用物联网、云计算、大数据、人工智能等现代信息技术，对园区进行智能化改造和管理，实现园区内人、物、环境等要素的全面感知、互联互通和智能响应。通过建设智慧消防、智慧安防、人行管理、园区停车管理、能源管理、环境监测、设备智能化管理，将数字化园区各环节的数据实时同步，通过可视化平台对智慧园区进行全方位的管理和决策。建立数据资源共享机制，加快智能化应用系统、绿色节能管理、政务办公服务平台等综合管理平台建设，打造产业互通、全区联动的智慧园区大脑体系。积极创建示范试点智慧园区。</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7"/>
      </w:tblGrid>
      <w:tr w14:paraId="25A2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E7E6E6" w:themeFill="background2"/>
          </w:tcPr>
          <w:p w14:paraId="09352187">
            <w:pPr>
              <w:pStyle w:val="17"/>
              <w:ind w:left="0" w:leftChars="0" w:firstLine="0" w:firstLineChars="0"/>
              <w:rPr>
                <w:color w:val="000000" w:themeColor="text1"/>
              </w:rPr>
            </w:pPr>
            <w:r>
              <w:rPr>
                <w:rFonts w:eastAsia="黑体"/>
                <w:color w:val="000000" w:themeColor="text1"/>
                <w:sz w:val="28"/>
                <w:szCs w:val="28"/>
              </w:rPr>
              <w:t>专栏</w:t>
            </w:r>
            <w:r>
              <w:rPr>
                <w:rFonts w:eastAsia="黑体"/>
                <w:sz w:val="28"/>
                <w:szCs w:val="28"/>
              </w:rPr>
              <w:t>1</w:t>
            </w:r>
            <w:r>
              <w:rPr>
                <w:rFonts w:hint="eastAsia" w:eastAsia="黑体"/>
                <w:sz w:val="28"/>
                <w:szCs w:val="28"/>
              </w:rPr>
              <w:t>0</w:t>
            </w:r>
            <w:r>
              <w:rPr>
                <w:rFonts w:eastAsia="黑体"/>
                <w:color w:val="000000" w:themeColor="text1"/>
                <w:sz w:val="28"/>
                <w:szCs w:val="28"/>
              </w:rPr>
              <w:t>：基础设施建设重点项目</w:t>
            </w:r>
          </w:p>
        </w:tc>
      </w:tr>
      <w:tr w14:paraId="62CA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34799C9">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四平红嘴经济技术开发区工业园区污水处理厂及配套设施建设项目：</w:t>
            </w:r>
            <w:r>
              <w:rPr>
                <w:color w:val="000000" w:themeColor="text1"/>
                <w:sz w:val="28"/>
                <w:szCs w:val="28"/>
              </w:rPr>
              <w:t>新建污水处理厂1座，占地面积为30000㎡。新建污水处理池4个，总容积为13520m³，同时建设厂区配套基础设施工程。</w:t>
            </w:r>
          </w:p>
          <w:p w14:paraId="3465C5A3">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四平市消防救援支队红嘴经济技术开发区消防救援站建设项目</w:t>
            </w:r>
            <w:r>
              <w:rPr>
                <w:color w:val="000000" w:themeColor="text1"/>
                <w:sz w:val="28"/>
                <w:szCs w:val="28"/>
              </w:rPr>
              <w:t>：新建消防站3400平方米、体能训练馆400平方米、训练塔500平方米、门卫20平方米以及配套设施等。</w:t>
            </w:r>
          </w:p>
          <w:p w14:paraId="7DE5ED68">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四平红嘴经济技术开发区污水管网提升改造工程</w:t>
            </w:r>
            <w:r>
              <w:rPr>
                <w:color w:val="000000" w:themeColor="text1"/>
                <w:sz w:val="28"/>
                <w:szCs w:val="28"/>
              </w:rPr>
              <w:t>：拟检测及清淤污水管线总长度为55106m，维修污水管网总长度为2550m，更换管网总长度为6302m，污水站污水罐清淤4个，更换污水泵3个，检修污水泵5个，检修污水提升泵站5个。</w:t>
            </w:r>
          </w:p>
          <w:p w14:paraId="394EF292">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四平红嘴经济技术开发区污水管网的建设项目</w:t>
            </w:r>
            <w:r>
              <w:rPr>
                <w:color w:val="000000" w:themeColor="text1"/>
                <w:sz w:val="28"/>
                <w:szCs w:val="28"/>
              </w:rPr>
              <w:t>：新建污水管线总长度为 5186m，检查井86座，新建一体化污水泵站4座。</w:t>
            </w:r>
          </w:p>
          <w:p w14:paraId="3EEF86D3">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文畅路（慧智街-迎宾街）</w:t>
            </w:r>
            <w:r>
              <w:rPr>
                <w:color w:val="000000" w:themeColor="text1"/>
                <w:sz w:val="28"/>
                <w:szCs w:val="28"/>
              </w:rPr>
              <w:t>：建设道路长度约906米，红线宽度50米，两侧绿线总宽20米，总面积约68000㎡。总铺装面积63420㎡。</w:t>
            </w:r>
          </w:p>
          <w:p w14:paraId="46DE9A2F">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文凯路（启翔型材东墙-迎宾街）</w:t>
            </w:r>
            <w:r>
              <w:rPr>
                <w:color w:val="000000" w:themeColor="text1"/>
                <w:sz w:val="28"/>
                <w:szCs w:val="28"/>
              </w:rPr>
              <w:t>：建设道路长度约1448米，红线宽度30米，总面积约44204㎡。总铺装面积43440㎡。</w:t>
            </w:r>
          </w:p>
          <w:p w14:paraId="4809D7CB">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文博路（慧智街-迎宾街）</w:t>
            </w:r>
            <w:r>
              <w:rPr>
                <w:color w:val="000000" w:themeColor="text1"/>
                <w:sz w:val="28"/>
                <w:szCs w:val="28"/>
              </w:rPr>
              <w:t>：建设道路长度约906米，红线宽度20米，总面积约19717㎡。总铺装面积18120㎡。</w:t>
            </w:r>
          </w:p>
          <w:p w14:paraId="40988282">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康平路（红嘴东街-慧智街）</w:t>
            </w:r>
            <w:r>
              <w:rPr>
                <w:color w:val="000000" w:themeColor="text1"/>
                <w:sz w:val="28"/>
                <w:szCs w:val="28"/>
              </w:rPr>
              <w:t>：建设道路长度429米，红线宽度60米，两侧绿线总宽40米，总面积约44780㎡。总铺装面积42900㎡。</w:t>
            </w:r>
          </w:p>
          <w:p w14:paraId="0CE5518A">
            <w:pPr>
              <w:pStyle w:val="17"/>
              <w:numPr>
                <w:ilvl w:val="0"/>
                <w:numId w:val="1"/>
              </w:numPr>
              <w:spacing w:beforeLines="50" w:after="10" w:line="360" w:lineRule="exact"/>
              <w:ind w:leftChars="0" w:firstLineChars="0"/>
              <w:rPr>
                <w:color w:val="000000" w:themeColor="text1"/>
                <w:sz w:val="28"/>
                <w:szCs w:val="28"/>
              </w:rPr>
            </w:pPr>
            <w:r>
              <w:rPr>
                <w:b/>
                <w:bCs/>
                <w:color w:val="000000" w:themeColor="text1"/>
                <w:sz w:val="28"/>
                <w:szCs w:val="28"/>
              </w:rPr>
              <w:t>红嘴东街（文凯路-文博路）</w:t>
            </w:r>
            <w:r>
              <w:rPr>
                <w:color w:val="000000" w:themeColor="text1"/>
                <w:sz w:val="28"/>
                <w:szCs w:val="28"/>
              </w:rPr>
              <w:t>：建设道路长度约324米，红线宽度40米，两侧绿线总宽10米，总面积约16701㎡。总铺装面积16200㎡。</w:t>
            </w:r>
          </w:p>
          <w:p w14:paraId="0B84F88B">
            <w:pPr>
              <w:pStyle w:val="17"/>
              <w:numPr>
                <w:ilvl w:val="0"/>
                <w:numId w:val="1"/>
              </w:numPr>
              <w:spacing w:beforeLines="50" w:after="10" w:line="360" w:lineRule="exact"/>
              <w:ind w:leftChars="0" w:firstLineChars="0"/>
              <w:rPr>
                <w:color w:val="000000" w:themeColor="text1"/>
              </w:rPr>
            </w:pPr>
            <w:r>
              <w:rPr>
                <w:b/>
                <w:bCs/>
                <w:color w:val="000000" w:themeColor="text1"/>
                <w:sz w:val="28"/>
                <w:szCs w:val="28"/>
              </w:rPr>
              <w:t>友谊街（文硕路-康平路）</w:t>
            </w:r>
            <w:r>
              <w:rPr>
                <w:color w:val="000000" w:themeColor="text1"/>
                <w:sz w:val="28"/>
                <w:szCs w:val="28"/>
              </w:rPr>
              <w:t>：建设道路长度约1401米，红线宽度30米，绿线两侧总宽20米，总面积约71343㎡。总铺装面积70050㎡。</w:t>
            </w:r>
          </w:p>
        </w:tc>
      </w:tr>
    </w:tbl>
    <w:p w14:paraId="7677B422">
      <w:pPr>
        <w:spacing w:beforeLines="50" w:afterLines="50"/>
        <w:ind w:firstLine="640" w:firstLineChars="200"/>
        <w:outlineLvl w:val="1"/>
        <w:rPr>
          <w:rFonts w:ascii="Times New Roman" w:hAnsi="Times New Roman" w:cs="Times New Roman"/>
          <w:color w:val="000000" w:themeColor="text1"/>
        </w:rPr>
      </w:pPr>
      <w:bookmarkStart w:id="49" w:name="_Toc31254"/>
      <w:r>
        <w:rPr>
          <w:rFonts w:ascii="Times New Roman" w:hAnsi="Times New Roman" w:eastAsia="楷体" w:cs="Times New Roman"/>
          <w:color w:val="000000" w:themeColor="text1"/>
          <w:sz w:val="32"/>
          <w:szCs w:val="32"/>
        </w:rPr>
        <w:t>（七）筑牢安全底线，打造平安红开</w:t>
      </w:r>
      <w:bookmarkEnd w:id="49"/>
    </w:p>
    <w:p w14:paraId="5E2DC218">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实施安全建设升级工程，把安全发展贯穿开发区发展各领域，防范化解各类安全风险，全方位筑牢开发区安全屏障，切实做到安全和发展两手抓、两手硬、两促进。</w:t>
      </w:r>
    </w:p>
    <w:p w14:paraId="2587F4A3">
      <w:pPr>
        <w:ind w:firstLine="640" w:firstLineChars="200"/>
        <w:rPr>
          <w:rFonts w:ascii="Times New Roman" w:hAnsi="Times New Roman" w:eastAsia="仿宋_GB2312" w:cs="Times New Roman"/>
          <w:b/>
          <w:bCs/>
          <w:color w:val="000000" w:themeColor="text1"/>
          <w:sz w:val="32"/>
          <w:szCs w:val="40"/>
        </w:rPr>
      </w:pPr>
      <w:r>
        <w:rPr>
          <w:rFonts w:ascii="Times New Roman" w:hAnsi="Times New Roman" w:eastAsia="仿宋_GB2312" w:cs="Times New Roman"/>
          <w:b/>
          <w:bCs/>
          <w:color w:val="000000" w:themeColor="text1"/>
          <w:sz w:val="32"/>
          <w:szCs w:val="40"/>
        </w:rPr>
        <w:t>1.筑牢企业安全生产防线</w:t>
      </w:r>
    </w:p>
    <w:p w14:paraId="010DF856">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牢固树立安全发展观念，强化安全生产监管，推动部门协调联动、企业全面负责、群众参与监督，理顺生产经营单位、综合监管部门的安全生产工作职责，明确履行安全职责的范围、内容及要求，形成“分工负责、齐抓共管”的安全监管工作格局。落实政府监管责任和企业主体责任，进一步整顿安全生产秩序，实现排查治理工作全覆盖和无缝化管理。建立健全安全生产专家库，充分发挥安全生产专家咨询参谋、智力支持作用，提升“科技兴安”、“人才强安”水平，有效促进园区安全生产监督管理工作。持续推进“铸安”行动常态化，实施安全生产专项整治三年行动，深入开展道路交通、建筑施工等重点行业领域安全专项整治，坚决防范和遏制重特大安全事故。广泛深入开展安全文化示范企业、社区创建活动，全面推进园区安全文化建设。购买环保管家、安全管家等第三方服务，最大限度提升园区安全管理水平。</w:t>
      </w:r>
    </w:p>
    <w:p w14:paraId="4F165C13">
      <w:pPr>
        <w:ind w:firstLine="640" w:firstLineChars="200"/>
        <w:rPr>
          <w:rFonts w:ascii="Times New Roman" w:hAnsi="Times New Roman" w:eastAsia="仿宋_GB2312" w:cs="Times New Roman"/>
          <w:b/>
          <w:bCs/>
          <w:color w:val="000000" w:themeColor="text1"/>
          <w:sz w:val="32"/>
          <w:szCs w:val="40"/>
        </w:rPr>
      </w:pPr>
      <w:r>
        <w:rPr>
          <w:rFonts w:ascii="Times New Roman" w:hAnsi="Times New Roman" w:eastAsia="仿宋_GB2312" w:cs="Times New Roman"/>
          <w:b/>
          <w:bCs/>
          <w:color w:val="000000" w:themeColor="text1"/>
          <w:sz w:val="32"/>
          <w:szCs w:val="40"/>
        </w:rPr>
        <w:t>2.健全红开区应急管理体系</w:t>
      </w:r>
    </w:p>
    <w:p w14:paraId="1EFC1301">
      <w:pPr>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全面完善红开区整体应急管理体系，强化辖区内应急设施建设、应急物资储备等方面工作，分类梳理辖区内企业应急相关信息，建立以开发区为主导，企业与公众共同参与的应急管理体系。修订和完善开发区整体应急预案，与安全信息化平台、整体安全评价深度融合形成系统、全面、实用、高效的安全应急监管体系。加大对应急救援队伍的支持力度，激发志愿者参与应急救援工作的热情，统筹聚合和调动辖区内应急救援力量。加快建设区内应急备用水源、电力工程，加强红开区与城区饮水安全、用电保障连通工程。完善应急投入长效机制，健全应急物资保障体系，强化应急管理科技支撑，提升应急处置能力，健全应急宣传教育体系。与周边重点应急救援单位建立应急联动机制，力争做到统一指挥、反应灵敏、响应迅速、安全高效。</w:t>
      </w:r>
    </w:p>
    <w:p w14:paraId="46F50590">
      <w:pPr>
        <w:ind w:firstLine="640" w:firstLineChars="200"/>
        <w:rPr>
          <w:rFonts w:ascii="Times New Roman" w:hAnsi="Times New Roman" w:eastAsia="仿宋_GB2312" w:cs="Times New Roman"/>
          <w:b/>
          <w:bCs/>
          <w:color w:val="000000" w:themeColor="text1"/>
          <w:sz w:val="32"/>
          <w:szCs w:val="40"/>
        </w:rPr>
      </w:pPr>
      <w:r>
        <w:rPr>
          <w:rFonts w:ascii="Times New Roman" w:hAnsi="Times New Roman" w:eastAsia="仿宋_GB2312" w:cs="Times New Roman"/>
          <w:b/>
          <w:bCs/>
          <w:color w:val="000000" w:themeColor="text1"/>
          <w:sz w:val="32"/>
          <w:szCs w:val="40"/>
        </w:rPr>
        <w:t>3.强化社会治安管控能力</w:t>
      </w:r>
    </w:p>
    <w:p w14:paraId="06E1FA8A">
      <w:pPr>
        <w:ind w:firstLine="640" w:firstLineChars="200"/>
        <w:rPr>
          <w:rFonts w:ascii="Times New Roman" w:hAnsi="Times New Roman" w:cs="Times New Roman"/>
          <w:color w:val="000000" w:themeColor="text1"/>
        </w:rPr>
      </w:pPr>
      <w:r>
        <w:rPr>
          <w:rFonts w:ascii="Times New Roman" w:hAnsi="Times New Roman" w:eastAsia="仿宋_GB2312" w:cs="Times New Roman"/>
          <w:color w:val="000000" w:themeColor="text1"/>
          <w:sz w:val="32"/>
          <w:szCs w:val="40"/>
        </w:rPr>
        <w:t>完善基层社会治安综合治理，坚持“打防结合、预防为主”的工作方针，加快推进立体化、信息化、智能化社会治安防控体系建设。深入推进“雪亮工程”建设，深入开展“守护平安”行动。常态化开展扫黑除恶斗争，严厉打击黄赌毒等各种刑事犯罪。强化对影响园区安全稳定的重大事项的联测联警联防联动，开展社会治理联建联创活动，参与推动社会治理数据互联互通。深化矛盾纠纷排查化解和人民调解工作，健全社会矛盾纠纷多元预防调处化解综合机制，畅通和规范群众诉求表达、利益协调、权益保障通道，完善信访制度，深入持久开展“群众说事情”活动，将矛盾纠纷化解在基层。</w:t>
      </w:r>
    </w:p>
    <w:p w14:paraId="6B4D2FB6">
      <w:pPr>
        <w:pStyle w:val="16"/>
        <w:ind w:firstLine="640" w:firstLineChars="200"/>
        <w:jc w:val="both"/>
        <w:rPr>
          <w:rFonts w:ascii="Times New Roman" w:hAnsi="Times New Roman" w:eastAsia="黑体" w:cs="Times New Roman"/>
          <w:color w:val="000000" w:themeColor="text1"/>
        </w:rPr>
      </w:pPr>
      <w:bookmarkStart w:id="50" w:name="_Toc26730"/>
      <w:r>
        <w:rPr>
          <w:rFonts w:ascii="Times New Roman" w:hAnsi="Times New Roman" w:eastAsia="黑体" w:cs="Times New Roman"/>
          <w:color w:val="000000" w:themeColor="text1"/>
        </w:rPr>
        <w:t>五、保障措施</w:t>
      </w:r>
      <w:bookmarkEnd w:id="50"/>
    </w:p>
    <w:p w14:paraId="3FA49629">
      <w:pPr>
        <w:spacing w:beforeLines="50" w:afterLines="50"/>
        <w:ind w:firstLine="640" w:firstLineChars="200"/>
        <w:outlineLvl w:val="1"/>
        <w:rPr>
          <w:rFonts w:ascii="Times New Roman" w:hAnsi="Times New Roman" w:eastAsia="楷体" w:cs="Times New Roman"/>
          <w:color w:val="000000" w:themeColor="text1"/>
          <w:sz w:val="32"/>
          <w:szCs w:val="32"/>
        </w:rPr>
      </w:pPr>
      <w:bookmarkStart w:id="51" w:name="_Toc19158"/>
      <w:r>
        <w:rPr>
          <w:rFonts w:ascii="Times New Roman" w:hAnsi="Times New Roman" w:eastAsia="楷体" w:cs="Times New Roman"/>
          <w:color w:val="000000" w:themeColor="text1"/>
          <w:sz w:val="32"/>
          <w:szCs w:val="32"/>
        </w:rPr>
        <w:t>（一）加强党的全面领导</w:t>
      </w:r>
      <w:bookmarkEnd w:id="51"/>
    </w:p>
    <w:p w14:paraId="391E0C5D">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强化规划执行的思想政治统一，贯彻党把方向、谋大局、定政策、促改革的要求，推动党员干部深入学习贯彻习近平新时代中国特色社会主义思想，增强“四个意识”，坚定“四个自信”，做到“两个维护”，确保中央、省委省政府、市委市政府各项决策部署在红开区落地生根、开花结果。全面加强党的领导和党的建设，推动重点企业完善党建团建制度，凝聚全区各阶层人士力量。经常组织开展专题研讨会、座谈论会，对开发区发展重大战略和关键问题进行讨论研究，为开发区高质量发展建言献策。</w:t>
      </w:r>
    </w:p>
    <w:p w14:paraId="4EC6B3BF">
      <w:pPr>
        <w:spacing w:beforeLines="50" w:afterLines="50"/>
        <w:ind w:firstLine="640" w:firstLineChars="200"/>
        <w:outlineLvl w:val="1"/>
        <w:rPr>
          <w:rFonts w:ascii="Times New Roman" w:hAnsi="Times New Roman" w:eastAsia="楷体" w:cs="Times New Roman"/>
          <w:color w:val="000000" w:themeColor="text1"/>
          <w:sz w:val="32"/>
          <w:szCs w:val="32"/>
        </w:rPr>
      </w:pPr>
      <w:bookmarkStart w:id="52" w:name="_Toc8521"/>
      <w:r>
        <w:rPr>
          <w:rFonts w:ascii="Times New Roman" w:hAnsi="Times New Roman" w:eastAsia="楷体" w:cs="Times New Roman"/>
          <w:color w:val="000000" w:themeColor="text1"/>
          <w:sz w:val="32"/>
          <w:szCs w:val="32"/>
        </w:rPr>
        <w:t>（二）加强要素条件保障</w:t>
      </w:r>
      <w:bookmarkEnd w:id="52"/>
    </w:p>
    <w:p w14:paraId="28F1E66E">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强化企业用工和人才保障，推行校企结合的人才培养方式，建设职业教育培训中心，大力实施农村劳动力转移培训和转岗职工技能培训。编制高层次创新型人才引进目录，深入实施创新科研团队和领军人才引进计划，组织开展高端人才供需见面会等对接活动，对接科研院校或知名企业，实现人才交流互动。强化资金保障，多渠道筹集园区建设资金，鼓励采取“投资人+EPC”等模式引导民营资本参与开发区建设。积极为企业向国家、省、市争取各项专项补贴、项目资金支持及政策支持，按照省、市要求及时做好相关配套政策支持。强化土地保障，充分利用土地增减挂等系列优惠政策，合理安排项目用地规模、布局、结构和时序，提高土地利用效率。协助做好土地征收成片开发方案编制工作、地块征收协调和土地组卷报批工作，保障项目用地。</w:t>
      </w:r>
    </w:p>
    <w:p w14:paraId="7811BE35">
      <w:pPr>
        <w:spacing w:beforeLines="50" w:afterLines="50"/>
        <w:ind w:firstLine="640" w:firstLineChars="200"/>
        <w:outlineLvl w:val="1"/>
        <w:rPr>
          <w:rFonts w:ascii="Times New Roman" w:hAnsi="Times New Roman" w:eastAsia="楷体" w:cs="Times New Roman"/>
          <w:color w:val="000000" w:themeColor="text1"/>
          <w:sz w:val="32"/>
          <w:szCs w:val="32"/>
        </w:rPr>
      </w:pPr>
      <w:bookmarkStart w:id="53" w:name="_Toc21246"/>
      <w:r>
        <w:rPr>
          <w:rFonts w:ascii="Times New Roman" w:hAnsi="Times New Roman" w:eastAsia="楷体" w:cs="Times New Roman"/>
          <w:color w:val="000000" w:themeColor="text1"/>
          <w:sz w:val="32"/>
          <w:szCs w:val="32"/>
        </w:rPr>
        <w:t>（三）加强监督考核评价</w:t>
      </w:r>
      <w:bookmarkEnd w:id="53"/>
    </w:p>
    <w:p w14:paraId="11FB1394">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对“十五五”规划落实情况进行跟踪监测、评估，并根据执行情况对规划目标和任务进行修订和调整。将重点目标纳入对相关部门和人员的考核评价，通过组织专项督察、专题会议研究、第三方评估等方式推动考核评价工作的落实。完善红开区考核评估体系，重点考核开发区产业发展、产业生态构建、创新能力、政策落实、土地资源高效利用等方面情况。实施目标考核机制，对目标任务进行分解，落实责任，定期评估。开展发展规划实施情况监督评估工作，加强规划实施动态管理，采取第三方考核评估方式，定期开展规划实施情况评估和经验总结，引导建设工作科学有序推进。</w:t>
      </w:r>
    </w:p>
    <w:p w14:paraId="1D7DC244">
      <w:pPr>
        <w:spacing w:beforeLines="50" w:afterLines="50"/>
        <w:ind w:firstLine="640" w:firstLineChars="200"/>
        <w:outlineLvl w:val="1"/>
        <w:rPr>
          <w:rFonts w:ascii="Times New Roman" w:hAnsi="Times New Roman" w:eastAsia="楷体" w:cs="Times New Roman"/>
          <w:color w:val="000000" w:themeColor="text1"/>
          <w:sz w:val="32"/>
          <w:szCs w:val="32"/>
        </w:rPr>
      </w:pPr>
      <w:bookmarkStart w:id="54" w:name="_Toc21540"/>
      <w:r>
        <w:rPr>
          <w:rFonts w:ascii="Times New Roman" w:hAnsi="Times New Roman" w:eastAsia="楷体" w:cs="Times New Roman"/>
          <w:color w:val="000000" w:themeColor="text1"/>
          <w:sz w:val="32"/>
          <w:szCs w:val="32"/>
        </w:rPr>
        <w:t>（四）加强项目引领支撑</w:t>
      </w:r>
      <w:bookmarkEnd w:id="54"/>
    </w:p>
    <w:p w14:paraId="5947D0FF">
      <w:pPr>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坚持经济工作项目化、项目工作责任化，以事关全局和长远发展的重大战略项目为抓手，在产业升级、创新驱动、开放合作、生态建设、社会建设等领域，谋划实施一批管长远、增后劲、补短板、惠民生的重大项目。认真把握国家、省、市产业政策导向，争取更多的项目列入省重大项目库和上级政策、资金支持。围绕新建、续建、竣工、储备等关键环节，建立健全“四督四保”制度，为企业发展提供“全生命周期”的优质服务，有效提高项目建设协调服务水平</w:t>
      </w:r>
    </w:p>
    <w:p w14:paraId="36058EFB">
      <w:pPr>
        <w:spacing w:beforeLines="50" w:afterLines="50"/>
        <w:ind w:firstLine="640" w:firstLineChars="200"/>
        <w:outlineLvl w:val="1"/>
        <w:rPr>
          <w:rFonts w:ascii="Times New Roman" w:hAnsi="Times New Roman" w:eastAsia="楷体" w:cs="Times New Roman"/>
          <w:color w:val="000000" w:themeColor="text1"/>
          <w:sz w:val="32"/>
          <w:szCs w:val="32"/>
        </w:rPr>
      </w:pPr>
      <w:bookmarkStart w:id="55" w:name="_Toc11668"/>
      <w:r>
        <w:rPr>
          <w:rFonts w:ascii="Times New Roman" w:hAnsi="Times New Roman" w:eastAsia="楷体" w:cs="Times New Roman"/>
          <w:color w:val="000000" w:themeColor="text1"/>
          <w:sz w:val="32"/>
          <w:szCs w:val="32"/>
        </w:rPr>
        <w:t>（五）加强规划统筹实施</w:t>
      </w:r>
      <w:bookmarkEnd w:id="55"/>
    </w:p>
    <w:p w14:paraId="00D35CAB">
      <w:pPr>
        <w:ind w:firstLine="64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2"/>
          <w:szCs w:val="32"/>
        </w:rPr>
        <w:t>建立健全部门协同的规划实施工作机制，进一步强化红开区发展的组织领导，明确分工，落实责任，推动形成各部门各司其职、上下密切配合、横纵结合的规划推进机制，提高规划实施的协同性和主动性，确保规划落实。同时以本规划为依据，制定实施方案、重点领域行动计划和年度计划，分解落实规划提出的发展目标、主要指标和重点任务，设置年度目标并做好年度间综合平衡。</w:t>
      </w:r>
    </w:p>
    <w:sectPr>
      <w:footerReference r:id="rId3" w:type="default"/>
      <w:pgSz w:w="11907" w:h="16840"/>
      <w:pgMar w:top="1440" w:right="1803" w:bottom="1440" w:left="1803" w:header="851" w:footer="992" w:gutter="0"/>
      <w:pgNumType w:start="1"/>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A07B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3845" cy="1549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83845" cy="154940"/>
                      </a:xfrm>
                      <a:prstGeom prst="rect">
                        <a:avLst/>
                      </a:prstGeom>
                      <a:noFill/>
                      <a:ln w="6350">
                        <a:noFill/>
                      </a:ln>
                      <a:effectLst/>
                    </wps:spPr>
                    <wps:txbx>
                      <w:txbxContent>
                        <w:p w14:paraId="03A2CE65">
                          <w:pPr>
                            <w:pStyle w:val="11"/>
                            <w:jc w:val="cente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2pt;width:22.35pt;mso-position-horizontal:center;mso-position-horizontal-relative:margin;z-index:251659264;mso-width-relative:page;mso-height-relative:page;" filled="f" stroked="f" coordsize="21600,21600" o:gfxdata="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LjumdMAAAADAQAADwAAAAAAAAABACAAAAAiAAAAZHJzL2Rv&#10;d25yZXYueG1sUEsBAhQAFAAAAAgAh07iQK+KMuA/AgAAbwQAAA4AAAAAAAAAAQAgAAAAIgEAAGRy&#10;cy9lMm9Eb2MueG1sUEsFBgAAAAAGAAYAWQEAANMFAAAAAA==&#10;">
              <v:fill on="f" focussize="0,0"/>
              <v:stroke on="f" weight="0.5pt"/>
              <v:imagedata o:title=""/>
              <o:lock v:ext="edit" aspectratio="f"/>
              <v:textbox inset="0mm,0mm,0mm,0mm">
                <w:txbxContent>
                  <w:p w14:paraId="03A2CE65">
                    <w:pPr>
                      <w:pStyle w:val="11"/>
                      <w:jc w:val="cente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1F1F3"/>
    <w:multiLevelType w:val="multilevel"/>
    <w:tmpl w:val="A501F1F3"/>
    <w:lvl w:ilvl="0" w:tentative="0">
      <w:start w:val="1"/>
      <w:numFmt w:val="bullet"/>
      <w:lvlText w:val=""/>
      <w:lvlJc w:val="left"/>
      <w:pPr>
        <w:ind w:left="420" w:hanging="420"/>
      </w:pPr>
      <w:rPr>
        <w:rFonts w:hint="default" w:ascii="Wingdings" w:hAnsi="Wingdings"/>
        <w:color w:val="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88F18C1"/>
    <w:multiLevelType w:val="multilevel"/>
    <w:tmpl w:val="088F18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956"/>
    <w:rsid w:val="00024FB3"/>
    <w:rsid w:val="00027242"/>
    <w:rsid w:val="00027BE0"/>
    <w:rsid w:val="00044EF2"/>
    <w:rsid w:val="0005714D"/>
    <w:rsid w:val="00064F58"/>
    <w:rsid w:val="00072724"/>
    <w:rsid w:val="00082D65"/>
    <w:rsid w:val="000A49AF"/>
    <w:rsid w:val="000E0B23"/>
    <w:rsid w:val="00100770"/>
    <w:rsid w:val="00124489"/>
    <w:rsid w:val="0013251A"/>
    <w:rsid w:val="001342B5"/>
    <w:rsid w:val="00172A27"/>
    <w:rsid w:val="00173482"/>
    <w:rsid w:val="001815CB"/>
    <w:rsid w:val="0019040E"/>
    <w:rsid w:val="001A7A03"/>
    <w:rsid w:val="001B481C"/>
    <w:rsid w:val="001C7D4D"/>
    <w:rsid w:val="001D062B"/>
    <w:rsid w:val="001D59AA"/>
    <w:rsid w:val="001E613E"/>
    <w:rsid w:val="00202F64"/>
    <w:rsid w:val="0022391B"/>
    <w:rsid w:val="0024755F"/>
    <w:rsid w:val="0025390A"/>
    <w:rsid w:val="002850FD"/>
    <w:rsid w:val="00294146"/>
    <w:rsid w:val="002956EB"/>
    <w:rsid w:val="00297E59"/>
    <w:rsid w:val="002A1AC4"/>
    <w:rsid w:val="002D4342"/>
    <w:rsid w:val="00326AB7"/>
    <w:rsid w:val="003301EB"/>
    <w:rsid w:val="0033333D"/>
    <w:rsid w:val="003A1510"/>
    <w:rsid w:val="003C4ECF"/>
    <w:rsid w:val="003E50F2"/>
    <w:rsid w:val="003E64F2"/>
    <w:rsid w:val="003F781A"/>
    <w:rsid w:val="00413BB7"/>
    <w:rsid w:val="004143E4"/>
    <w:rsid w:val="004179F4"/>
    <w:rsid w:val="00423EBE"/>
    <w:rsid w:val="00427AF7"/>
    <w:rsid w:val="00427E3D"/>
    <w:rsid w:val="004338C4"/>
    <w:rsid w:val="00450AA2"/>
    <w:rsid w:val="00451F96"/>
    <w:rsid w:val="0049516C"/>
    <w:rsid w:val="004B51E4"/>
    <w:rsid w:val="004D2456"/>
    <w:rsid w:val="00525FAD"/>
    <w:rsid w:val="00542A51"/>
    <w:rsid w:val="005701C1"/>
    <w:rsid w:val="005807B1"/>
    <w:rsid w:val="005958B8"/>
    <w:rsid w:val="005A2277"/>
    <w:rsid w:val="005A4A25"/>
    <w:rsid w:val="005B3E80"/>
    <w:rsid w:val="005B503F"/>
    <w:rsid w:val="005D1428"/>
    <w:rsid w:val="005D57BA"/>
    <w:rsid w:val="005D6181"/>
    <w:rsid w:val="006363C1"/>
    <w:rsid w:val="00653910"/>
    <w:rsid w:val="00660247"/>
    <w:rsid w:val="006641FC"/>
    <w:rsid w:val="00686241"/>
    <w:rsid w:val="006B287A"/>
    <w:rsid w:val="006B5100"/>
    <w:rsid w:val="006B64E6"/>
    <w:rsid w:val="006D77AF"/>
    <w:rsid w:val="007026EE"/>
    <w:rsid w:val="0072794A"/>
    <w:rsid w:val="00734D6A"/>
    <w:rsid w:val="00735973"/>
    <w:rsid w:val="00746DBF"/>
    <w:rsid w:val="00755500"/>
    <w:rsid w:val="00756A8A"/>
    <w:rsid w:val="007576A5"/>
    <w:rsid w:val="00771586"/>
    <w:rsid w:val="00783421"/>
    <w:rsid w:val="00791CA2"/>
    <w:rsid w:val="007A7C69"/>
    <w:rsid w:val="007C0CED"/>
    <w:rsid w:val="007D0000"/>
    <w:rsid w:val="007E0393"/>
    <w:rsid w:val="007F0952"/>
    <w:rsid w:val="00805A6F"/>
    <w:rsid w:val="008136FC"/>
    <w:rsid w:val="00820E34"/>
    <w:rsid w:val="00842215"/>
    <w:rsid w:val="008472BD"/>
    <w:rsid w:val="00854A79"/>
    <w:rsid w:val="00856637"/>
    <w:rsid w:val="008574C5"/>
    <w:rsid w:val="00880552"/>
    <w:rsid w:val="0088629B"/>
    <w:rsid w:val="008E6049"/>
    <w:rsid w:val="00912716"/>
    <w:rsid w:val="009313EC"/>
    <w:rsid w:val="00934502"/>
    <w:rsid w:val="00956CE0"/>
    <w:rsid w:val="00967200"/>
    <w:rsid w:val="009838FD"/>
    <w:rsid w:val="009876A6"/>
    <w:rsid w:val="009C4205"/>
    <w:rsid w:val="009E4046"/>
    <w:rsid w:val="009F01E0"/>
    <w:rsid w:val="009F5C33"/>
    <w:rsid w:val="00A11CF3"/>
    <w:rsid w:val="00A14506"/>
    <w:rsid w:val="00A14F0F"/>
    <w:rsid w:val="00A2294D"/>
    <w:rsid w:val="00A32FAF"/>
    <w:rsid w:val="00A40483"/>
    <w:rsid w:val="00A713A8"/>
    <w:rsid w:val="00A715FE"/>
    <w:rsid w:val="00A81B6B"/>
    <w:rsid w:val="00A97BDB"/>
    <w:rsid w:val="00AA212F"/>
    <w:rsid w:val="00AB15EC"/>
    <w:rsid w:val="00AC6F58"/>
    <w:rsid w:val="00AD653B"/>
    <w:rsid w:val="00AE4797"/>
    <w:rsid w:val="00B02F10"/>
    <w:rsid w:val="00B07D6A"/>
    <w:rsid w:val="00B104D9"/>
    <w:rsid w:val="00B3390F"/>
    <w:rsid w:val="00B67A6E"/>
    <w:rsid w:val="00BA05E4"/>
    <w:rsid w:val="00BA2A42"/>
    <w:rsid w:val="00BB692B"/>
    <w:rsid w:val="00BC3202"/>
    <w:rsid w:val="00BE127A"/>
    <w:rsid w:val="00BE32B0"/>
    <w:rsid w:val="00C3256F"/>
    <w:rsid w:val="00CE2971"/>
    <w:rsid w:val="00CE71D3"/>
    <w:rsid w:val="00D01F8C"/>
    <w:rsid w:val="00D129AF"/>
    <w:rsid w:val="00D257AC"/>
    <w:rsid w:val="00D41F3A"/>
    <w:rsid w:val="00D5050E"/>
    <w:rsid w:val="00D54521"/>
    <w:rsid w:val="00D84F9E"/>
    <w:rsid w:val="00DD572B"/>
    <w:rsid w:val="00E0057F"/>
    <w:rsid w:val="00E52F30"/>
    <w:rsid w:val="00E61709"/>
    <w:rsid w:val="00E71BC2"/>
    <w:rsid w:val="00E97EB4"/>
    <w:rsid w:val="00EC295F"/>
    <w:rsid w:val="00EC5ADC"/>
    <w:rsid w:val="00EF6824"/>
    <w:rsid w:val="00F235C4"/>
    <w:rsid w:val="00F3239E"/>
    <w:rsid w:val="00F3495D"/>
    <w:rsid w:val="00F4104B"/>
    <w:rsid w:val="00F50218"/>
    <w:rsid w:val="00F5567A"/>
    <w:rsid w:val="00F715B0"/>
    <w:rsid w:val="00F75BB4"/>
    <w:rsid w:val="00F76661"/>
    <w:rsid w:val="00F93495"/>
    <w:rsid w:val="00F93AAD"/>
    <w:rsid w:val="00FB4A59"/>
    <w:rsid w:val="00FC3D29"/>
    <w:rsid w:val="00FE5619"/>
    <w:rsid w:val="00FF16F0"/>
    <w:rsid w:val="013904FB"/>
    <w:rsid w:val="0147153B"/>
    <w:rsid w:val="01803930"/>
    <w:rsid w:val="01EA636A"/>
    <w:rsid w:val="02B13F09"/>
    <w:rsid w:val="02BB46B0"/>
    <w:rsid w:val="031F3DF1"/>
    <w:rsid w:val="032B09E8"/>
    <w:rsid w:val="03BE7AAE"/>
    <w:rsid w:val="03C16C32"/>
    <w:rsid w:val="03D270B5"/>
    <w:rsid w:val="045B52FD"/>
    <w:rsid w:val="04B413E8"/>
    <w:rsid w:val="053718C6"/>
    <w:rsid w:val="0543026B"/>
    <w:rsid w:val="05467D5B"/>
    <w:rsid w:val="056B77C2"/>
    <w:rsid w:val="05A36F5B"/>
    <w:rsid w:val="05A76A4C"/>
    <w:rsid w:val="05D96D60"/>
    <w:rsid w:val="06336531"/>
    <w:rsid w:val="067601CC"/>
    <w:rsid w:val="06820965"/>
    <w:rsid w:val="068A3CB5"/>
    <w:rsid w:val="06A304E8"/>
    <w:rsid w:val="06A765D7"/>
    <w:rsid w:val="072639A0"/>
    <w:rsid w:val="075A7C0B"/>
    <w:rsid w:val="075B2664"/>
    <w:rsid w:val="07832BA1"/>
    <w:rsid w:val="079923C4"/>
    <w:rsid w:val="08114650"/>
    <w:rsid w:val="083060FE"/>
    <w:rsid w:val="08993DCD"/>
    <w:rsid w:val="08E7715F"/>
    <w:rsid w:val="08ED1D35"/>
    <w:rsid w:val="09C64410"/>
    <w:rsid w:val="09DB4F16"/>
    <w:rsid w:val="09EA33AB"/>
    <w:rsid w:val="0A1E4E03"/>
    <w:rsid w:val="0A2F0DBE"/>
    <w:rsid w:val="0A3D797F"/>
    <w:rsid w:val="0AB94B2B"/>
    <w:rsid w:val="0AD6392F"/>
    <w:rsid w:val="0B0100E5"/>
    <w:rsid w:val="0B095527"/>
    <w:rsid w:val="0B6947A3"/>
    <w:rsid w:val="0BB815A9"/>
    <w:rsid w:val="0CCA74C4"/>
    <w:rsid w:val="0CD45814"/>
    <w:rsid w:val="0D641EE6"/>
    <w:rsid w:val="0DC83A03"/>
    <w:rsid w:val="0E214EC1"/>
    <w:rsid w:val="0E2A08E0"/>
    <w:rsid w:val="0E4D4CCB"/>
    <w:rsid w:val="0E6A31C8"/>
    <w:rsid w:val="0E71086E"/>
    <w:rsid w:val="0E8042DE"/>
    <w:rsid w:val="0E941B37"/>
    <w:rsid w:val="0EF147CA"/>
    <w:rsid w:val="0F297639"/>
    <w:rsid w:val="0FBC30F4"/>
    <w:rsid w:val="0FFC5BE6"/>
    <w:rsid w:val="10484987"/>
    <w:rsid w:val="1068327B"/>
    <w:rsid w:val="10B2312B"/>
    <w:rsid w:val="11275E99"/>
    <w:rsid w:val="118045F5"/>
    <w:rsid w:val="118F65E6"/>
    <w:rsid w:val="119B4F8B"/>
    <w:rsid w:val="11DD37F5"/>
    <w:rsid w:val="12434303"/>
    <w:rsid w:val="12535865"/>
    <w:rsid w:val="12FE1C75"/>
    <w:rsid w:val="13511DA5"/>
    <w:rsid w:val="14382F65"/>
    <w:rsid w:val="14D40EDF"/>
    <w:rsid w:val="14FC3F92"/>
    <w:rsid w:val="150F0169"/>
    <w:rsid w:val="157D7BE0"/>
    <w:rsid w:val="16176966"/>
    <w:rsid w:val="16952935"/>
    <w:rsid w:val="170D06D9"/>
    <w:rsid w:val="172872C1"/>
    <w:rsid w:val="177E7470"/>
    <w:rsid w:val="19011E01"/>
    <w:rsid w:val="19145D4E"/>
    <w:rsid w:val="1A352420"/>
    <w:rsid w:val="1A7016AA"/>
    <w:rsid w:val="1A892B95"/>
    <w:rsid w:val="1ACC5060"/>
    <w:rsid w:val="1B3229A7"/>
    <w:rsid w:val="1B5B7B3E"/>
    <w:rsid w:val="1B5C39DD"/>
    <w:rsid w:val="1B5F602D"/>
    <w:rsid w:val="1B9118D8"/>
    <w:rsid w:val="1D1F3A00"/>
    <w:rsid w:val="1D2C0BEB"/>
    <w:rsid w:val="1DD43CFE"/>
    <w:rsid w:val="1E2F4AB2"/>
    <w:rsid w:val="1E8F421D"/>
    <w:rsid w:val="1F073C5F"/>
    <w:rsid w:val="1FB21E1D"/>
    <w:rsid w:val="1FE130E0"/>
    <w:rsid w:val="20340A84"/>
    <w:rsid w:val="20CC7146"/>
    <w:rsid w:val="2112268D"/>
    <w:rsid w:val="21817A87"/>
    <w:rsid w:val="21C52585"/>
    <w:rsid w:val="22541672"/>
    <w:rsid w:val="22F60840"/>
    <w:rsid w:val="23242227"/>
    <w:rsid w:val="23C2284B"/>
    <w:rsid w:val="242B4894"/>
    <w:rsid w:val="244A71BB"/>
    <w:rsid w:val="246B664C"/>
    <w:rsid w:val="24DC5C85"/>
    <w:rsid w:val="24FD53A2"/>
    <w:rsid w:val="254C061E"/>
    <w:rsid w:val="25A110DD"/>
    <w:rsid w:val="25D73F0F"/>
    <w:rsid w:val="25FB10CD"/>
    <w:rsid w:val="264D09A5"/>
    <w:rsid w:val="27D8088F"/>
    <w:rsid w:val="28214CF1"/>
    <w:rsid w:val="28681C13"/>
    <w:rsid w:val="287C746C"/>
    <w:rsid w:val="288A1B89"/>
    <w:rsid w:val="290E6767"/>
    <w:rsid w:val="29425099"/>
    <w:rsid w:val="294C6E3F"/>
    <w:rsid w:val="29530EB5"/>
    <w:rsid w:val="29550E36"/>
    <w:rsid w:val="2982103C"/>
    <w:rsid w:val="29934A6D"/>
    <w:rsid w:val="2A01380E"/>
    <w:rsid w:val="2A6401B8"/>
    <w:rsid w:val="2AA77303"/>
    <w:rsid w:val="2B465B0F"/>
    <w:rsid w:val="2B5E7451"/>
    <w:rsid w:val="2C3371CB"/>
    <w:rsid w:val="2C534988"/>
    <w:rsid w:val="2CBC252D"/>
    <w:rsid w:val="2CBF5B79"/>
    <w:rsid w:val="2DEB2BEA"/>
    <w:rsid w:val="2E5D564A"/>
    <w:rsid w:val="2EDE49DD"/>
    <w:rsid w:val="2FAF6974"/>
    <w:rsid w:val="2FEF2C1A"/>
    <w:rsid w:val="30401638"/>
    <w:rsid w:val="305A4537"/>
    <w:rsid w:val="3099633C"/>
    <w:rsid w:val="30AB20C4"/>
    <w:rsid w:val="31E532EF"/>
    <w:rsid w:val="327D62BB"/>
    <w:rsid w:val="328533C1"/>
    <w:rsid w:val="32C97752"/>
    <w:rsid w:val="33501C21"/>
    <w:rsid w:val="3369683F"/>
    <w:rsid w:val="33A154C2"/>
    <w:rsid w:val="35531555"/>
    <w:rsid w:val="35C661CB"/>
    <w:rsid w:val="36B44275"/>
    <w:rsid w:val="36F53FDE"/>
    <w:rsid w:val="37F93B03"/>
    <w:rsid w:val="39AB7BB1"/>
    <w:rsid w:val="39C12F31"/>
    <w:rsid w:val="39F71049"/>
    <w:rsid w:val="3A85143D"/>
    <w:rsid w:val="3AF410E4"/>
    <w:rsid w:val="3B96663F"/>
    <w:rsid w:val="3CBE19AA"/>
    <w:rsid w:val="3DA1554C"/>
    <w:rsid w:val="3E271CC6"/>
    <w:rsid w:val="3E29379B"/>
    <w:rsid w:val="3EC07073"/>
    <w:rsid w:val="3F2F25EE"/>
    <w:rsid w:val="3F600C78"/>
    <w:rsid w:val="406C6770"/>
    <w:rsid w:val="409E1975"/>
    <w:rsid w:val="417261A5"/>
    <w:rsid w:val="42156510"/>
    <w:rsid w:val="42245F61"/>
    <w:rsid w:val="42300896"/>
    <w:rsid w:val="4258464E"/>
    <w:rsid w:val="429C0DE9"/>
    <w:rsid w:val="42F51E9D"/>
    <w:rsid w:val="43D403D5"/>
    <w:rsid w:val="43F65C26"/>
    <w:rsid w:val="44044A8E"/>
    <w:rsid w:val="443206DB"/>
    <w:rsid w:val="443B7D84"/>
    <w:rsid w:val="443F5920"/>
    <w:rsid w:val="445B21D4"/>
    <w:rsid w:val="446D1D32"/>
    <w:rsid w:val="44C10289"/>
    <w:rsid w:val="44C61D43"/>
    <w:rsid w:val="44EB17AA"/>
    <w:rsid w:val="456073FA"/>
    <w:rsid w:val="45831D6E"/>
    <w:rsid w:val="45F621B4"/>
    <w:rsid w:val="461865CE"/>
    <w:rsid w:val="4664561B"/>
    <w:rsid w:val="474D04FA"/>
    <w:rsid w:val="47694C08"/>
    <w:rsid w:val="47751CE6"/>
    <w:rsid w:val="47CE6EE6"/>
    <w:rsid w:val="47DE73A4"/>
    <w:rsid w:val="480552C8"/>
    <w:rsid w:val="481D611E"/>
    <w:rsid w:val="482F0B3F"/>
    <w:rsid w:val="488D5187"/>
    <w:rsid w:val="48DC7D87"/>
    <w:rsid w:val="497C6086"/>
    <w:rsid w:val="4A123335"/>
    <w:rsid w:val="4A3B0ADD"/>
    <w:rsid w:val="4AAA7A11"/>
    <w:rsid w:val="4AF8077D"/>
    <w:rsid w:val="4B8D5369"/>
    <w:rsid w:val="4BF21670"/>
    <w:rsid w:val="4C2757BD"/>
    <w:rsid w:val="4C4334E7"/>
    <w:rsid w:val="4C544AAF"/>
    <w:rsid w:val="4C6D0CF6"/>
    <w:rsid w:val="4C982217"/>
    <w:rsid w:val="4CB22A32"/>
    <w:rsid w:val="4D1F46E6"/>
    <w:rsid w:val="4D986247"/>
    <w:rsid w:val="4E3F552B"/>
    <w:rsid w:val="4F675ED1"/>
    <w:rsid w:val="4F8E5B53"/>
    <w:rsid w:val="4F9736C9"/>
    <w:rsid w:val="4FCD667C"/>
    <w:rsid w:val="50BE5FC4"/>
    <w:rsid w:val="51276734"/>
    <w:rsid w:val="514276DE"/>
    <w:rsid w:val="517843C5"/>
    <w:rsid w:val="51877DC1"/>
    <w:rsid w:val="51B64EEE"/>
    <w:rsid w:val="51C63E5A"/>
    <w:rsid w:val="52D7511B"/>
    <w:rsid w:val="53566D2C"/>
    <w:rsid w:val="54436F0C"/>
    <w:rsid w:val="54AA3C40"/>
    <w:rsid w:val="551321A2"/>
    <w:rsid w:val="55172147"/>
    <w:rsid w:val="552C79A0"/>
    <w:rsid w:val="558F2C6D"/>
    <w:rsid w:val="5595180A"/>
    <w:rsid w:val="55BD676B"/>
    <w:rsid w:val="56520564"/>
    <w:rsid w:val="56806856"/>
    <w:rsid w:val="56EF29AC"/>
    <w:rsid w:val="575D6537"/>
    <w:rsid w:val="57C25D39"/>
    <w:rsid w:val="57CA16F3"/>
    <w:rsid w:val="582B3BB3"/>
    <w:rsid w:val="58B8779D"/>
    <w:rsid w:val="59874FE3"/>
    <w:rsid w:val="59B91A1F"/>
    <w:rsid w:val="5B694D7F"/>
    <w:rsid w:val="5BDE751B"/>
    <w:rsid w:val="5C1271C4"/>
    <w:rsid w:val="5C235F5B"/>
    <w:rsid w:val="5C4E644E"/>
    <w:rsid w:val="5CA16106"/>
    <w:rsid w:val="5D467A6D"/>
    <w:rsid w:val="5DE92A8F"/>
    <w:rsid w:val="5E5166CA"/>
    <w:rsid w:val="5E6737F7"/>
    <w:rsid w:val="5F4F0E5B"/>
    <w:rsid w:val="5FB54157"/>
    <w:rsid w:val="5FFD3AF0"/>
    <w:rsid w:val="60053F56"/>
    <w:rsid w:val="606F1089"/>
    <w:rsid w:val="607856CC"/>
    <w:rsid w:val="6130357C"/>
    <w:rsid w:val="614B5652"/>
    <w:rsid w:val="61532759"/>
    <w:rsid w:val="617758C2"/>
    <w:rsid w:val="61CE3B8D"/>
    <w:rsid w:val="61D54F1C"/>
    <w:rsid w:val="61E04B25"/>
    <w:rsid w:val="62037CDB"/>
    <w:rsid w:val="62EA1F11"/>
    <w:rsid w:val="63E3546E"/>
    <w:rsid w:val="64840DCB"/>
    <w:rsid w:val="65110961"/>
    <w:rsid w:val="65442AE4"/>
    <w:rsid w:val="66214BD4"/>
    <w:rsid w:val="669D5A30"/>
    <w:rsid w:val="66E41FAD"/>
    <w:rsid w:val="66ED0F5A"/>
    <w:rsid w:val="66F10A4A"/>
    <w:rsid w:val="6739419F"/>
    <w:rsid w:val="67876CB8"/>
    <w:rsid w:val="67E97973"/>
    <w:rsid w:val="686938C2"/>
    <w:rsid w:val="69124CA8"/>
    <w:rsid w:val="6A1231B1"/>
    <w:rsid w:val="6A744FD2"/>
    <w:rsid w:val="6AA250D1"/>
    <w:rsid w:val="6AA4439D"/>
    <w:rsid w:val="6ADA1204"/>
    <w:rsid w:val="6B166CD1"/>
    <w:rsid w:val="6B460C38"/>
    <w:rsid w:val="6B8F438D"/>
    <w:rsid w:val="6BE60F19"/>
    <w:rsid w:val="6BF11285"/>
    <w:rsid w:val="6C4B6506"/>
    <w:rsid w:val="6C97174C"/>
    <w:rsid w:val="6D394EF9"/>
    <w:rsid w:val="6D67600A"/>
    <w:rsid w:val="6D7C6B93"/>
    <w:rsid w:val="6D9D25D1"/>
    <w:rsid w:val="6DC76378"/>
    <w:rsid w:val="6DEA7FA1"/>
    <w:rsid w:val="6DEF55B7"/>
    <w:rsid w:val="6EEA7083"/>
    <w:rsid w:val="6F12513D"/>
    <w:rsid w:val="6F7F4719"/>
    <w:rsid w:val="6FFD7DB5"/>
    <w:rsid w:val="703D3FFA"/>
    <w:rsid w:val="704D384F"/>
    <w:rsid w:val="70891CF3"/>
    <w:rsid w:val="711D3786"/>
    <w:rsid w:val="71BD1299"/>
    <w:rsid w:val="725D57AD"/>
    <w:rsid w:val="73C848CD"/>
    <w:rsid w:val="743E5CC3"/>
    <w:rsid w:val="747D1B6F"/>
    <w:rsid w:val="74D427FC"/>
    <w:rsid w:val="753A73EC"/>
    <w:rsid w:val="75840CDB"/>
    <w:rsid w:val="75AB1D9F"/>
    <w:rsid w:val="760A11E0"/>
    <w:rsid w:val="77C4207B"/>
    <w:rsid w:val="77C655DB"/>
    <w:rsid w:val="7826607A"/>
    <w:rsid w:val="783E1615"/>
    <w:rsid w:val="7883527A"/>
    <w:rsid w:val="78A43B6E"/>
    <w:rsid w:val="78A56E7C"/>
    <w:rsid w:val="78C44F32"/>
    <w:rsid w:val="794715D6"/>
    <w:rsid w:val="798474FC"/>
    <w:rsid w:val="7997722F"/>
    <w:rsid w:val="79BF18E6"/>
    <w:rsid w:val="7A0D457D"/>
    <w:rsid w:val="7A54590E"/>
    <w:rsid w:val="7A7B26AD"/>
    <w:rsid w:val="7AA339B1"/>
    <w:rsid w:val="7ADD5115"/>
    <w:rsid w:val="7B621A27"/>
    <w:rsid w:val="7C105077"/>
    <w:rsid w:val="7C7E6484"/>
    <w:rsid w:val="7CA84B62"/>
    <w:rsid w:val="7D4F7E21"/>
    <w:rsid w:val="7DA86BA8"/>
    <w:rsid w:val="7F0D6934"/>
    <w:rsid w:val="7FD44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567"/>
      <w:jc w:val="left"/>
    </w:pPr>
    <w:rPr>
      <w:rFonts w:ascii="Times New Roman" w:hAnsi="Times New Roman" w:eastAsia="宋体" w:cs="Times New Roman"/>
      <w:sz w:val="28"/>
    </w:rPr>
  </w:style>
  <w:style w:type="paragraph" w:styleId="6">
    <w:name w:val="toc 2"/>
    <w:basedOn w:val="1"/>
    <w:next w:val="1"/>
    <w:qFormat/>
    <w:uiPriority w:val="0"/>
    <w:pPr>
      <w:ind w:left="420" w:leftChars="200"/>
    </w:pPr>
  </w:style>
  <w:style w:type="paragraph" w:styleId="7">
    <w:name w:val="annotation text"/>
    <w:basedOn w:val="1"/>
    <w:qFormat/>
    <w:uiPriority w:val="0"/>
    <w:pPr>
      <w:jc w:val="left"/>
    </w:pPr>
  </w:style>
  <w:style w:type="paragraph" w:styleId="8">
    <w:name w:val="Body Text Indent"/>
    <w:basedOn w:val="1"/>
    <w:next w:val="5"/>
    <w:qFormat/>
    <w:uiPriority w:val="0"/>
    <w:pPr>
      <w:spacing w:after="120"/>
      <w:ind w:left="420" w:leftChars="200"/>
    </w:pPr>
    <w:rPr>
      <w:rFonts w:ascii="Times New Roman" w:hAnsi="Times New Roman" w:eastAsia="宋体" w:cs="Times New Roman"/>
    </w:rPr>
  </w:style>
  <w:style w:type="paragraph" w:styleId="9">
    <w:name w:val="Body Text Indent 2"/>
    <w:basedOn w:val="1"/>
    <w:qFormat/>
    <w:uiPriority w:val="0"/>
    <w:pPr>
      <w:ind w:right="-175" w:firstLine="560"/>
    </w:pPr>
    <w:rPr>
      <w:rFonts w:ascii="宋体" w:hAnsi="宋体" w:eastAsia="宋体"/>
      <w:color w:val="000000"/>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Body Text 2"/>
    <w:basedOn w:val="1"/>
    <w:qFormat/>
    <w:uiPriority w:val="0"/>
    <w:pPr>
      <w:spacing w:after="120" w:line="480" w:lineRule="auto"/>
    </w:pPr>
    <w:rPr>
      <w:rFonts w:ascii="仿宋_GB2312" w:hAnsi="仿宋_GB2312" w:eastAsia="仿宋_GB2312" w:cs="Times New Roman"/>
      <w:sz w:val="36"/>
    </w:rPr>
  </w:style>
  <w:style w:type="paragraph" w:styleId="15">
    <w:name w:val="Normal (Web)"/>
    <w:basedOn w:val="1"/>
    <w:qFormat/>
    <w:uiPriority w:val="0"/>
    <w:rPr>
      <w:rFonts w:ascii="Times New Roman" w:hAnsi="Times New Roman" w:cs="Times New Roman"/>
      <w:sz w:val="24"/>
    </w:rPr>
  </w:style>
  <w:style w:type="paragraph" w:styleId="16">
    <w:name w:val="Title"/>
    <w:basedOn w:val="1"/>
    <w:next w:val="1"/>
    <w:link w:val="25"/>
    <w:qFormat/>
    <w:uiPriority w:val="0"/>
    <w:pPr>
      <w:spacing w:before="240" w:after="60"/>
      <w:jc w:val="center"/>
      <w:outlineLvl w:val="0"/>
    </w:pPr>
    <w:rPr>
      <w:rFonts w:asciiTheme="majorHAnsi" w:hAnsiTheme="majorHAnsi" w:eastAsiaTheme="majorEastAsia" w:cstheme="majorBidi"/>
      <w:b/>
      <w:bCs/>
      <w:sz w:val="32"/>
      <w:szCs w:val="32"/>
    </w:rPr>
  </w:style>
  <w:style w:type="paragraph" w:styleId="17">
    <w:name w:val="Body Text First Indent 2"/>
    <w:basedOn w:val="8"/>
    <w:next w:val="1"/>
    <w:qFormat/>
    <w:uiPriority w:val="0"/>
    <w:pPr>
      <w:ind w:firstLine="420" w:firstLineChars="200"/>
    </w:pPr>
    <w:rPr>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customStyle="1" w:styleId="22">
    <w:name w:val="font21"/>
    <w:basedOn w:val="20"/>
    <w:qFormat/>
    <w:uiPriority w:val="0"/>
    <w:rPr>
      <w:rFonts w:hint="default" w:ascii="Times New Roman" w:hAnsi="Times New Roman" w:cs="Times New Roman"/>
      <w:b/>
      <w:bCs/>
      <w:color w:val="000000"/>
      <w:sz w:val="20"/>
      <w:szCs w:val="20"/>
      <w:u w:val="none"/>
    </w:rPr>
  </w:style>
  <w:style w:type="character" w:customStyle="1" w:styleId="23">
    <w:name w:val="font41"/>
    <w:basedOn w:val="20"/>
    <w:qFormat/>
    <w:uiPriority w:val="0"/>
    <w:rPr>
      <w:rFonts w:hint="default" w:ascii="Times New Roman" w:hAnsi="Times New Roman" w:cs="Times New Roman"/>
      <w:color w:val="000000"/>
      <w:sz w:val="20"/>
      <w:szCs w:val="20"/>
      <w:u w:val="none"/>
    </w:rPr>
  </w:style>
  <w:style w:type="paragraph" w:styleId="24">
    <w:name w:val="List Paragraph"/>
    <w:basedOn w:val="1"/>
    <w:unhideWhenUsed/>
    <w:qFormat/>
    <w:uiPriority w:val="99"/>
    <w:pPr>
      <w:ind w:firstLine="420" w:firstLineChars="200"/>
    </w:pPr>
  </w:style>
  <w:style w:type="character" w:customStyle="1" w:styleId="25">
    <w:name w:val="标题 Char"/>
    <w:basedOn w:val="20"/>
    <w:link w:val="16"/>
    <w:qFormat/>
    <w:uiPriority w:val="0"/>
    <w:rPr>
      <w:rFonts w:asciiTheme="majorHAnsi" w:hAnsiTheme="majorHAnsi" w:eastAsiaTheme="majorEastAsia" w:cstheme="majorBidi"/>
      <w:b/>
      <w:bCs/>
      <w:kern w:val="2"/>
      <w:sz w:val="32"/>
      <w:szCs w:val="32"/>
    </w:rPr>
  </w:style>
  <w:style w:type="character" w:customStyle="1" w:styleId="26">
    <w:name w:val="标题 1 字符"/>
    <w:basedOn w:val="20"/>
    <w:link w:val="2"/>
    <w:qFormat/>
    <w:uiPriority w:val="0"/>
    <w:rPr>
      <w:rFonts w:asciiTheme="minorHAnsi" w:hAnsiTheme="minorHAnsi" w:eastAsiaTheme="minorEastAsia" w:cstheme="minorBidi"/>
      <w:b/>
      <w:bCs/>
      <w:kern w:val="44"/>
      <w:sz w:val="44"/>
      <w:szCs w:val="44"/>
    </w:rPr>
  </w:style>
  <w:style w:type="character" w:customStyle="1" w:styleId="27">
    <w:name w:val="标题 2 Char"/>
    <w:basedOn w:val="20"/>
    <w:link w:val="3"/>
    <w:qFormat/>
    <w:uiPriority w:val="0"/>
    <w:rPr>
      <w:rFonts w:asciiTheme="majorHAnsi" w:hAnsiTheme="majorHAnsi" w:eastAsiaTheme="majorEastAsia" w:cstheme="majorBidi"/>
      <w:b/>
      <w:bCs/>
      <w:kern w:val="2"/>
      <w:sz w:val="32"/>
      <w:szCs w:val="32"/>
    </w:rPr>
  </w:style>
  <w:style w:type="paragraph" w:customStyle="1" w:styleId="28">
    <w:name w:val="正文首行缩进 21"/>
    <w:basedOn w:val="29"/>
    <w:next w:val="1"/>
    <w:qFormat/>
    <w:uiPriority w:val="0"/>
    <w:pPr>
      <w:ind w:firstLine="420"/>
    </w:pPr>
  </w:style>
  <w:style w:type="paragraph" w:customStyle="1" w:styleId="29">
    <w:name w:val="正文文本缩进1"/>
    <w:basedOn w:val="1"/>
    <w:qFormat/>
    <w:uiPriority w:val="0"/>
    <w:pPr>
      <w:ind w:left="420" w:leftChars="200"/>
    </w:pPr>
    <w:rPr>
      <w:sz w:val="22"/>
    </w:rPr>
  </w:style>
  <w:style w:type="paragraph" w:customStyle="1" w:styleId="30">
    <w:name w:val="正文首行缩进 211"/>
    <w:basedOn w:val="31"/>
    <w:next w:val="1"/>
    <w:qFormat/>
    <w:uiPriority w:val="0"/>
    <w:pPr>
      <w:ind w:firstLine="420"/>
    </w:pPr>
  </w:style>
  <w:style w:type="paragraph" w:customStyle="1" w:styleId="31">
    <w:name w:val="正文文本缩进11"/>
    <w:basedOn w:val="1"/>
    <w:qFormat/>
    <w:uiPriority w:val="0"/>
    <w:pPr>
      <w:spacing w:after="120"/>
      <w:ind w:left="420" w:leftChars="200"/>
    </w:pPr>
    <w:rPr>
      <w:sz w:val="22"/>
    </w:rPr>
  </w:style>
  <w:style w:type="character" w:customStyle="1" w:styleId="32">
    <w:name w:val="标题 1 Char"/>
    <w:link w:val="2"/>
    <w:qFormat/>
    <w:uiPriority w:val="0"/>
    <w:rPr>
      <w:rFonts w:ascii="方正小标宋简体" w:hAnsi="方正小标宋简体" w:eastAsia="方正小标宋简体" w:cs="方正小标宋简体"/>
      <w:kern w:val="44"/>
      <w:sz w:val="44"/>
      <w:szCs w:val="44"/>
    </w:rPr>
  </w:style>
  <w:style w:type="character" w:customStyle="1" w:styleId="33">
    <w:name w:val="批注框文本 Char"/>
    <w:basedOn w:val="20"/>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9c2d6704-3727-422b-b41f-fc7905b72ca7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1873482D</paraID>
      <start>12</start>
      <end>13</end>
      <status>unmodified</status>
      <modifiedWord/>
      <trackRevisions>false</trackRevisions>
    </reviewItem>
    <reviewItem>
      <errorID>59df24c5-6ed6-4eeb-a190-3e22c2df9e2c</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52FE295B</paraID>
      <start>70</start>
      <end>75</end>
      <status>unmodified</status>
      <modifiedWord/>
      <trackRevisions>false</trackRevisions>
    </reviewItem>
    <reviewItem>
      <errorID>c03d55cf-90e6-4c1f-8910-2ca50d7fb05b</errorID>
      <errorWord>截止到</errorWord>
      <group>L1_Word</group>
      <groupName>字词问题</groupName>
      <ability>L2_Typo</ability>
      <abilityName>字词错误</abilityName>
      <candidateList>
        <item>截止</item>
      </candidateList>
      <explain>〈动〉（到一定期限）停止：报名在昨天已经～。</explain>
      <paraID>7C6D5A5E</paraID>
      <start>19</start>
      <end>22</end>
      <status>unmodified</status>
      <modifiedWord/>
      <trackRevisions>false</trackRevisions>
    </reviewItem>
    <reviewItem>
      <errorID>5573510a-7e86-45f7-a3d5-ba8cacfdd8d9</errorID>
      <errorWord>精减</errorWord>
      <group>L1_Word</group>
      <groupName>字词问题</groupName>
      <ability>L2_Typo</ability>
      <abilityName>字词错误</abilityName>
      <candidateList>
        <item>精简</item>
      </candidateList>
      <explain/>
      <paraID>562ADD27</paraID>
      <start>157</start>
      <end>159</end>
      <status>unmodified</status>
      <modifiedWord/>
      <trackRevisions>false</trackRevisions>
    </reviewItem>
    <reviewItem>
      <errorID>47f3e09d-f758-4071-b65a-9df5fd4b4116</errorID>
      <errorWord>红开区</errorWord>
      <group>L1_Word</group>
      <groupName>字词问题</groupName>
      <ability>L2_Typo</ability>
      <abilityName>字词错误</abilityName>
      <candidateList>
        <item>经开区</item>
      </candidateList>
      <explain/>
      <paraID>7FFF310B</paraID>
      <start>56</start>
      <end>59</end>
      <status>ignored</status>
      <modifiedWord/>
      <trackRevisions>false</trackRevisions>
    </reviewItem>
    <reviewItem>
      <errorID>4590f51c-dd98-45a3-8907-92ff56ade229</errorID>
      <errorWord>，</errorWord>
      <group>L1_Word</group>
      <groupName>字词问题</groupName>
      <ability>L2_Typo</ability>
      <abilityName>字词错误</abilityName>
      <candidateList>
        <item>，而</item>
      </candidateList>
      <explain/>
      <paraID>7FFF310B</paraID>
      <start>79</start>
      <end>80</end>
      <status>ignored</status>
      <modifiedWord/>
      <trackRevisions>false</trackRevisions>
    </reviewItem>
    <reviewItem>
      <errorID>26cf9da5-cfed-41f7-9e6c-2bd01cdca3af</errorID>
      <errorWord>，</errorWord>
      <group>L1_Word</group>
      <groupName>字词问题</groupName>
      <ability>L2_Typo</ability>
      <abilityName>字词错误</abilityName>
      <candidateList>
        <item>，在</item>
      </candidateList>
      <explain/>
      <paraID>1B71178B</paraID>
      <start>455</start>
      <end>457</end>
      <status>modified</status>
      <modifiedWord>，在</modifiedWord>
      <trackRevisions>false</trackRevisions>
    </reviewItem>
    <reviewItem>
      <errorID>df6d72f2-2b9e-432b-9ad9-a587692ff674</errorID>
      <errorWord>同时后</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2F6F0FC1</paraID>
      <start>280</start>
      <end>282</end>
      <status>modified</status>
      <modifiedWord>同时</modifiedWord>
      <trackRevisions>false</trackRevisions>
    </reviewItem>
    <reviewItem>
      <errorID>5028d84d-9d5b-415c-8f45-d1d56d44adb7</errorID>
      <errorWord>；</errorWord>
      <group>L1_Word</group>
      <groupName>字词问题</groupName>
      <ability>L2_Typo</ability>
      <abilityName>字词错误</abilityName>
      <candidateList>
        <item>；在</item>
      </candidateList>
      <explain/>
      <paraID>2F6F0FC1</paraID>
      <start>555</start>
      <end>556</end>
      <status>unmodified</status>
      <modifiedWord/>
      <trackRevisions>false</trackRevisions>
    </reviewItem>
    <reviewItem>
      <errorID>1ae1dcfd-a316-4619-9283-dff2741f96eb</errorID>
      <errorWord>以高质量发展为主题</errorWord>
      <group>L1_Political</group>
      <groupName>政治性问题</groupName>
      <ability>L2_Keyword</ability>
      <abilityName>固定表述</abilityName>
      <candidateList>
        <item>以推动高质量发展为主题</item>
      </candidateList>
      <explain>词汇“以推动高质量发展为主题”在特定场景下为固定表述形式，请确认此处的“以高质量发展为主题”是否存在不当。</explain>
      <paraID>659B27C7</paraID>
      <start>151</start>
      <end>160</end>
      <status>unmodified</status>
      <modifiedWord/>
      <trackRevisions>false</trackRevisions>
    </reviewItem>
    <reviewItem>
      <errorID>861a27f9-0ce5-49ad-a23f-fbe005a891d3</errorID>
      <errorWord>标志型</errorWord>
      <group>L1_Word</group>
      <groupName>字词问题</groupName>
      <ability>L2_Typo</ability>
      <abilityName>字词错误</abilityName>
      <candidateList>
        <item>标志性</item>
      </candidateList>
      <explain/>
      <paraID>65FEF994</paraID>
      <start>146</start>
      <end>149</end>
      <status>unmodified</status>
      <modifiedWord/>
      <trackRevisions>false</trackRevisions>
    </reviewItem>
    <reviewItem>
      <errorID>29327754-27eb-4542-bf15-c144a5243e1e</errorID>
      <errorWord>两重两新</errorWord>
      <group>L1_Political</group>
      <groupName>政治性问题</groupName>
      <ability>L2_Keyword</ability>
      <abilityName>固定表述</abilityName>
      <candidateList>
        <item>“两重”“两新”</item>
      </candidateList>
      <explain>注意检查当前固定表述标点是否使用规范。</explain>
      <paraID>6B90690D</paraID>
      <start>2</start>
      <end>6</end>
      <status>unmodified</status>
      <modifiedWord/>
      <trackRevisions>false</trackRevisions>
    </reviewItem>
    <reviewItem>
      <errorID>a250a5c4-07e9-4acb-8b68-b9693f6ae744</errorID>
      <errorWord>：，</errorWord>
      <group>L1_Punc</group>
      <groupName>标点问题</groupName>
      <ability>L2_Punc</ability>
      <abilityName>标点符号检查</abilityName>
      <candidateList>
        <item>：</item>
      </candidateList>
      <explain/>
      <paraID>6B90690D</paraID>
      <start>64</start>
      <end>66</end>
      <status>unmodified</status>
      <modifiedWord/>
      <trackRevisions>false</trackRevisions>
    </reviewItem>
    <reviewItem>
      <errorID>a842ab95-f587-4ce0-8f15-8cbc2c83e982</errorID>
      <errorWord>下</errorWord>
      <group>L1_Word</group>
      <groupName>字词问题</groupName>
      <ability>L2_Typo</ability>
      <abilityName>字词错误</abilityName>
      <candidateList>
        <item>下游</item>
      </candidateList>
      <explain/>
      <paraID>63C8307D</paraID>
      <start>68</start>
      <end>69</end>
      <status>unmodified</status>
      <modifiedWord/>
      <trackRevisions>false</trackRevisions>
    </reviewItem>
    <reviewItem>
      <errorID>0705d2dd-9579-449b-b318-fafbaabd1b8a</errorID>
      <errorWord>产业链式</errorWord>
      <group>L1_Word</group>
      <groupName>字词问题</groupName>
      <ability>L2_Typo</ability>
      <abilityName>字词错误</abilityName>
      <candidateList>
        <item>产业链</item>
      </candidateList>
      <explain/>
      <paraID>3DDE122A</paraID>
      <start>63</start>
      <end>67</end>
      <status>unmodified</status>
      <modifiedWord/>
      <trackRevisions>false</trackRevisions>
    </reviewItem>
    <reviewItem>
      <errorID>e7aa55bc-b643-4261-bc1a-0e2ad385c7da</errorID>
      <errorWord>压机成型</errorWord>
      <group>L1_Knowledge</group>
      <groupName>知识性问题</groupName>
      <ability>L2_Term</ability>
      <abilityName>专业术语</abilityName>
      <candidateList>
        <item>压铸成型</item>
      </candidateList>
      <explain/>
      <paraID>593D839F</paraID>
      <start>64</start>
      <end>68</end>
      <status>unmodified</status>
      <modifiedWord/>
      <trackRevisions>false</trackRevisions>
    </reviewItem>
    <reviewItem>
      <errorID>b9987ddf-2628-406c-b775-25c13d6c89d9</errorID>
      <errorWord>占地约为</errorWord>
      <group>L1_Word</group>
      <groupName>字词问题</groupName>
      <ability>L2_Typo</ability>
      <abilityName>字词错误</abilityName>
      <candidateList>
        <item>占地约</item>
      </candidateList>
      <explain/>
      <paraID>  233CA5</paraID>
      <start>22</start>
      <end>26</end>
      <status>unmodified</status>
      <modifiedWord/>
      <trackRevisions>false</trackRevisions>
    </reviewItem>
    <reviewItem>
      <errorID>c007129a-e327-4d44-9497-4430bafaef71</errorID>
      <errorWord>开</errorWord>
      <group>L1_Word</group>
      <groupName>字词问题</groupName>
      <ability>L2_Typo</ability>
      <abilityName>字词错误</abilityName>
      <candidateList>
        <item>开区</item>
      </candidateList>
      <explain/>
      <paraID>43225776</paraID>
      <start>59</start>
      <end>60</end>
      <status>unmodified</status>
      <modifiedWord/>
      <trackRevisions>false</trackRevisions>
    </reviewItem>
    <reviewItem>
      <errorID>ed99cdf2-4859-4905-9546-13d9f143dfe5</errorID>
      <errorWord>三农</errorWord>
      <group>L1_Political</group>
      <groupName>政治性问题</groupName>
      <ability>L2_Keyword</ability>
      <abilityName>固定表述</abilityName>
      <candidateList>
        <item>“三农”</item>
      </candidateList>
      <explain>注意检查当前固定表述标点是否使用规范。</explain>
      <paraID>7D209458</paraID>
      <start>20</start>
      <end>22</end>
      <status>unmodified</status>
      <modifiedWord/>
      <trackRevisions>false</trackRevisions>
    </reviewItem>
    <reviewItem>
      <errorID>023ec1a4-9e62-45fa-90d9-e63991c21372</errorID>
      <errorWord>占地约为</errorWord>
      <group>L1_Word</group>
      <groupName>字词问题</groupName>
      <ability>L2_Typo</ability>
      <abilityName>字词错误</abilityName>
      <candidateList>
        <item>占地约</item>
      </candidateList>
      <explain/>
      <paraID>530183B6</paraID>
      <start>41</start>
      <end>45</end>
      <status>unmodified</status>
      <modifiedWord/>
      <trackRevisions>false</trackRevisions>
    </reviewItem>
    <reviewItem>
      <errorID>b335d746-04b8-4621-8a65-fb78b08361f3</errorID>
      <errorWord>占地约为</errorWord>
      <group>L1_Word</group>
      <groupName>字词问题</groupName>
      <ability>L2_Typo</ability>
      <abilityName>字词错误</abilityName>
      <candidateList>
        <item>占地约</item>
      </candidateList>
      <explain/>
      <paraID>3238E894</paraID>
      <start>42</start>
      <end>46</end>
      <status>unmodified</status>
      <modifiedWord/>
      <trackRevisions>false</trackRevisions>
    </reviewItem>
    <reviewItem>
      <errorID>c3f24eb9-7e08-4716-a7d8-be0ea8663478</errorID>
      <errorWord>成产</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404E08B4</paraID>
      <start>124</start>
      <end>126</end>
      <status>modified</status>
      <modifiedWord>生产</modifiedWord>
      <trackRevisions>false</trackRevisions>
    </reviewItem>
    <reviewItem>
      <errorID>21f377a0-34a5-4b28-8741-df72bbd3a88f</errorID>
      <errorWord>”</errorWord>
      <group>L1_Punc</group>
      <groupName>标点问题</groupName>
      <ability>L2_Punc</ability>
      <abilityName>标点符号检查</abilityName>
      <candidateList/>
      <explain/>
      <paraID>404E08B4</paraID>
      <start>135</start>
      <end>136</end>
      <status>unmodified</status>
      <modifiedWord/>
      <trackRevisions>false</trackRevisions>
    </reviewItem>
    <reviewItem>
      <errorID>d4778e58-7dc2-4cfe-8b94-0a5c5e4df107</errorID>
      <errorWord>占地约为</errorWord>
      <group>L1_Word</group>
      <groupName>字词问题</groupName>
      <ability>L2_Typo</ability>
      <abilityName>字词错误</abilityName>
      <candidateList>
        <item>占地约</item>
      </candidateList>
      <explain/>
      <paraID> 8C98965</paraID>
      <start>28</start>
      <end>32</end>
      <status>unmodified</status>
      <modifiedWord/>
      <trackRevisions>false</trackRevisions>
    </reviewItem>
    <reviewItem>
      <errorID>79ab8d14-373c-4d54-aedb-de0084de40ce</errorID>
      <errorWord>粘玉米</errorWord>
      <group>L1_Word</group>
      <groupName>字词问题</groupName>
      <ability>L2_Alias</ability>
      <abilityName>也作/曾用词</abilityName>
      <candidateList>
        <item>黏玉米</item>
      </candidateList>
      <explain>词汇[粘玉米]为不规范表述或旧称，其规范书面表述为[黏玉米]。</explain>
      <paraID>133A97ED</paraID>
      <start>51</start>
      <end>54</end>
      <status>unmodified</status>
      <modifiedWord/>
      <trackRevisions>false</trackRevisions>
    </reviewItem>
    <reviewItem>
      <errorID>26296863-bff2-4fc6-ab5e-1aac0267d391</errorID>
      <errorWord>“</errorWord>
      <group>L1_Punc</group>
      <groupName>标点问题</groupName>
      <ability>L2_Punc</ability>
      <abilityName>标点符号检查</abilityName>
      <candidateList/>
      <explain/>
      <paraID> FD46311</paraID>
      <start>33</start>
      <end>34</end>
      <status>unmodified</status>
      <modifiedWord/>
      <trackRevisions>false</trackRevisions>
    </reviewItem>
    <reviewItem>
      <errorID>fe6661ac-21de-4c46-91ab-354904c1135f</errorID>
      <errorWord>-</errorWord>
      <group>L1_Format</group>
      <groupName>格式问题</groupName>
      <ability>L2_HalfPunc</ability>
      <abilityName>全半角检查</abilityName>
      <candidateList>
        <item>－</item>
      </candidateList>
      <explain>文本全半角错误。</explain>
      <paraID>5F59874A</paraID>
      <start>74</start>
      <end>75</end>
      <status>unmodified</status>
      <modifiedWord/>
      <trackRevisions>false</trackRevisions>
    </reviewItem>
    <reviewItem>
      <errorID>5da73663-7659-4226-a591-58876c2c1be1</errorID>
      <errorWord>-</errorWord>
      <group>L1_Format</group>
      <groupName>格式问题</groupName>
      <ability>L2_HalfPunc</ability>
      <abilityName>全半角检查</abilityName>
      <candidateList>
        <item>－</item>
      </candidateList>
      <explain>文本全半角错误。</explain>
      <paraID>5F59874A</paraID>
      <start>77</start>
      <end>78</end>
      <status>unmodified</status>
      <modifiedWord/>
      <trackRevisions>false</trackRevisions>
    </reviewItem>
    <reviewItem>
      <errorID>371b760d-008f-4934-a468-646d617e124f</errorID>
      <errorWord>-</errorWord>
      <group>L1_Format</group>
      <groupName>格式问题</groupName>
      <ability>L2_HalfPunc</ability>
      <abilityName>全半角检查</abilityName>
      <candidateList>
        <item>－</item>
      </candidateList>
      <explain>文本全半角错误。</explain>
      <paraID>5F59874A</paraID>
      <start>80</start>
      <end>81</end>
      <status>unmodified</status>
      <modifiedWord/>
      <trackRevisions>false</trackRevisions>
    </reviewItem>
    <reviewItem>
      <errorID>5a0dd6a8-661c-4cac-9aa7-4033a0194eec</errorID>
      <errorWord>-</errorWord>
      <group>L1_Format</group>
      <groupName>格式问题</groupName>
      <ability>L2_HalfPunc</ability>
      <abilityName>全半角检查</abilityName>
      <candidateList>
        <item>－</item>
      </candidateList>
      <explain>文本全半角错误。</explain>
      <paraID>5F59874A</paraID>
      <start>95</start>
      <end>96</end>
      <status>unmodified</status>
      <modifiedWord/>
      <trackRevisions>false</trackRevisions>
    </reviewItem>
    <reviewItem>
      <errorID>24b6c71f-3a5c-4f3b-a575-79c5610abd7b</errorID>
      <errorWord>-</errorWord>
      <group>L1_Format</group>
      <groupName>格式问题</groupName>
      <ability>L2_HalfPunc</ability>
      <abilityName>全半角检查</abilityName>
      <candidateList>
        <item>－</item>
      </candidateList>
      <explain>文本全半角错误。</explain>
      <paraID>5F59874A</paraID>
      <start>104</start>
      <end>105</end>
      <status>unmodified</status>
      <modifiedWord/>
      <trackRevisions>false</trackRevisions>
    </reviewItem>
    <reviewItem>
      <errorID>e0af0bcc-3ef0-4c37-a716-dcd889fa5d8a</errorID>
      <errorWord>-</errorWord>
      <group>L1_Format</group>
      <groupName>格式问题</groupName>
      <ability>L2_HalfPunc</ability>
      <abilityName>全半角检查</abilityName>
      <candidateList>
        <item>－</item>
      </candidateList>
      <explain>文本全半角错误。</explain>
      <paraID>5F59874A</paraID>
      <start>114</start>
      <end>115</end>
      <status>unmodified</status>
      <modifiedWord/>
      <trackRevisions>false</trackRevisions>
    </reviewItem>
    <reviewItem>
      <errorID>8e7d8adb-2af1-43ed-b3fa-38637e1f5673</errorID>
      <errorWord>(</errorWord>
      <group>L1_Format</group>
      <groupName>格式问题</groupName>
      <ability>L2_HalfPunc</ability>
      <abilityName>全半角检查</abilityName>
      <candidateList>
        <item>（</item>
      </candidateList>
      <explain>文本全半角错误。</explain>
      <paraID>428320CD</paraID>
      <start>12</start>
      <end>13</end>
      <status>unmodified</status>
      <modifiedWord/>
      <trackRevisions>false</trackRevisions>
    </reviewItem>
    <reviewItem>
      <errorID>84d27a3c-5d06-42b7-9e18-d1be886c9e22</errorID>
      <errorWord>)</errorWord>
      <group>L1_Format</group>
      <groupName>格式问题</groupName>
      <ability>L2_HalfPunc</ability>
      <abilityName>全半角检查</abilityName>
      <candidateList>
        <item>）</item>
      </candidateList>
      <explain>文本全半角错误。</explain>
      <paraID>428320CD</paraID>
      <start>15</start>
      <end>16</end>
      <status>unmodified</status>
      <modifiedWord/>
      <trackRevisions>false</trackRevisions>
    </reviewItem>
    <reviewItem>
      <errorID>00048099-0a93-453f-afe3-f8b97b939fd9</errorID>
      <errorWord>占地约为</errorWord>
      <group>L1_Word</group>
      <groupName>字词问题</groupName>
      <ability>L2_Typo</ability>
      <abilityName>字词错误</abilityName>
      <candidateList>
        <item>占地约</item>
      </candidateList>
      <explain/>
      <paraID>59F65A16</paraID>
      <start>34</start>
      <end>38</end>
      <status>unmodified</status>
      <modifiedWord/>
      <trackRevisions>false</trackRevisions>
    </reviewItem>
    <reviewItem>
      <errorID>3ac483c4-726d-4565-9ec9-a26fb984f458</errorID>
      <errorWord>:</errorWord>
      <group>L1_Format</group>
      <groupName>格式问题</groupName>
      <ability>L2_HalfPunc</ability>
      <abilityName>全半角检查</abilityName>
      <candidateList>
        <item>：</item>
      </candidateList>
      <explain>文本全半角错误。</explain>
      <paraID> E98544C</paraID>
      <start>25</start>
      <end>26</end>
      <status>unmodified</status>
      <modifiedWord/>
      <trackRevisions>false</trackRevisions>
    </reviewItem>
    <reviewItem>
      <errorID>4f3bfb86-d841-46c5-8bd5-ac049ab4087f</errorID>
      <errorWord>,</errorWord>
      <group>L1_Format</group>
      <groupName>格式问题</groupName>
      <ability>L2_HalfPunc</ability>
      <abilityName>全半角检查</abilityName>
      <candidateList>
        <item>，</item>
      </candidateList>
      <explain>文本全半角错误。</explain>
      <paraID> E98544C</paraID>
      <start>53</start>
      <end>54</end>
      <status>unmodified</status>
      <modifiedWord/>
      <trackRevisions>false</trackRevisions>
    </reviewItem>
    <reviewItem>
      <errorID>3413a680-52f5-4f0d-82d3-957bcf5dc73d</errorID>
      <errorWord>通讯运营商</errorWord>
      <group>L1_Word</group>
      <groupName>字词问题</groupName>
      <ability>L2_Alias</ability>
      <abilityName>也作/曾用词</abilityName>
      <candidateList>
        <item>通信运营商</item>
      </candidateList>
      <explain>词汇[通讯运营商]为不规范表述或旧称，其规范书面表述为[通信运营商]。</explain>
      <paraID> E98544C</paraID>
      <start>140</start>
      <end>145</end>
      <status>unmodified</status>
      <modifiedWord/>
      <trackRevisions>false</trackRevisions>
    </reviewItem>
    <reviewItem>
      <errorID>1a05e56c-962b-4cf2-a7f3-f0112f9d57f5</errorID>
      <errorWord>-</errorWord>
      <group>L1_Format</group>
      <groupName>格式问题</groupName>
      <ability>L2_HalfPunc</ability>
      <abilityName>全半角检查</abilityName>
      <candidateList>
        <item>－</item>
      </candidateList>
      <explain>文本全半角错误。</explain>
      <paraID>4C0C4DE9</paraID>
      <start>45</start>
      <end>46</end>
      <status>unmodified</status>
      <modifiedWord/>
      <trackRevisions>false</trackRevisions>
    </reviewItem>
    <reviewItem>
      <errorID>d760de4a-a54c-4afd-841f-0db4edaadfbe</errorID>
      <errorWord>-</errorWord>
      <group>L1_Format</group>
      <groupName>格式问题</groupName>
      <ability>L2_HalfPunc</ability>
      <abilityName>全半角检查</abilityName>
      <candidateList>
        <item>－</item>
      </candidateList>
      <explain>文本全半角错误。</explain>
      <paraID>4C0C4DE9</paraID>
      <start>48</start>
      <end>49</end>
      <status>unmodified</status>
      <modifiedWord/>
      <trackRevisions>false</trackRevisions>
    </reviewItem>
    <reviewItem>
      <errorID>e395ebd5-2be6-4da0-bae6-42bb22022f96</errorID>
      <errorWord>红开区</errorWord>
      <group>L1_Word</group>
      <groupName>字词问题</groupName>
      <ability>L2_Typo</ability>
      <abilityName>字词错误</abilityName>
      <candidateList>
        <item>经开区</item>
      </candidateList>
      <explain/>
      <paraID>451B8FD1</paraID>
      <start>201</start>
      <end>204</end>
      <status>ignored</status>
      <modifiedWord/>
      <trackRevisions>false</trackRevisions>
    </reviewItem>
    <reviewItem>
      <errorID>6e8a67cb-5054-4f85-9edd-1ed8cbffefae</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6F61BC1B</paraID>
      <start>150</start>
      <end>157</end>
      <status>modified</status>
      <modifiedWord>战略性新兴产业</modifiedWord>
      <trackRevisions>false</trackRevisions>
    </reviewItem>
    <reviewItem>
      <errorID>0929dea1-acb8-49fb-9033-6f38a3eeacdb</errorID>
      <errorWord>、和</errorWord>
      <group>L1_Punc</group>
      <groupName>标点问题</groupName>
      <ability>L2_Punc</ability>
      <abilityName>标点符号检查</abilityName>
      <candidateList>
        <item>和</item>
      </candidateList>
      <explain>“及”“和”“等”连词前不宜使用顿号，建议删除（或使用逗号）。</explain>
      <paraID>12469FD0</paraID>
      <start>261</start>
      <end>263</end>
      <status>unmodified</status>
      <modifiedWord/>
      <trackRevisions>false</trackRevisions>
    </reviewItem>
    <reviewItem>
      <errorID>fc437c84-72fd-4b2a-80c8-4c08cb216ede</errorID>
      <errorWord>红开区</errorWord>
      <group>L1_Word</group>
      <groupName>字词问题</groupName>
      <ability>L2_Typo</ability>
      <abilityName>字词错误</abilityName>
      <candidateList>
        <item>经开区</item>
      </candidateList>
      <explain/>
      <paraID>1FB7BBCC</paraID>
      <start>15</start>
      <end>18</end>
      <status>ignored</status>
      <modifiedWord/>
      <trackRevisions>false</trackRevisions>
    </reviewItem>
    <reviewItem>
      <errorID>6ffc4209-386e-4ea4-9b88-9600a9600509</errorID>
      <errorWord>，对</errorWord>
      <group>L1_Word</group>
      <groupName>字词问题</groupName>
      <ability>L2_Typo</ability>
      <abilityName>字词错误</abilityName>
      <candidateList>
        <item>，</item>
      </candidateList>
      <explain/>
      <paraID>1FB7BBCC</paraID>
      <start>27</start>
      <end>29</end>
      <status>unmodified</status>
      <modifiedWord/>
      <trackRevisions>false</trackRevisions>
    </reviewItem>
    <reviewItem>
      <errorID>e29de4be-eb39-4fd4-a277-4a7499640f72</errorID>
      <errorWord>減</errorWord>
      <group>L1_Word</group>
      <groupName>字词问题</groupName>
      <ability>L2_Fanti</ability>
      <abilityName>繁转简</abilityName>
      <candidateList>
        <item>减</item>
      </candidateList>
      <explain/>
      <paraID>1FB7BBCC</paraID>
      <start>174</start>
      <end>175</end>
      <status>modified</status>
      <modifiedWord>减</modifiedWord>
      <trackRevisions>false</trackRevisions>
    </reviewItem>
    <reviewItem>
      <errorID>6e5dea6e-68c4-4b0b-8280-1634531c289e</errorID>
      <errorWord>红</errorWord>
      <group>L1_Word</group>
      <groupName>字词问题</groupName>
      <ability>L2_Typo</ability>
      <abilityName>字词错误</abilityName>
      <candidateList>
        <item>经</item>
      </candidateList>
      <explain>存在字形相近字词的误用。</explain>
      <paraID>641CBE01</paraID>
      <start>114</start>
      <end>115</end>
      <status>unmodified</status>
      <modifiedWord/>
      <trackRevisions>false</trackRevisions>
    </reviewItem>
    <reviewItem>
      <errorID>fe6c456a-c47e-47f4-a5d1-4911c1da2ab0</errorID>
      <errorWord>中科院</errorWord>
      <group>L1_Knowledge</group>
      <groupName>知识性问题</groupName>
      <ability>L2_Knowledge</ability>
      <abilityName>其他知识</abilityName>
      <candidateList>
        <item>中国科学院</item>
      </candidateList>
      <explain/>
      <paraID>641CBE01</paraID>
      <start>181</start>
      <end>184</end>
      <status>unmodified</status>
      <modifiedWord/>
      <trackRevisions>false</trackRevisions>
    </reviewItem>
    <reviewItem>
      <errorID>ed7018a9-ebdc-4bb3-b3bf-873d4f70a6fd</errorID>
      <errorWord>产学研深度结合</errorWord>
      <group>L1_Political</group>
      <groupName>政治性问题</groupName>
      <ability>L2_Keyword</ability>
      <abilityName>固定表述</abilityName>
      <candidateList>
        <item>产学研深度融合</item>
      </candidateList>
      <explain>词汇“产学研深度融合”在特定场景下为固定表述形式，请确认此处的“产学研深度结合”是否存在不当。</explain>
      <paraID>641CBE01</paraID>
      <start>226</start>
      <end>233</end>
      <status>unmodified</status>
      <modifiedWord/>
      <trackRevisions>false</trackRevisions>
    </reviewItem>
    <reviewItem>
      <errorID>49cf1db5-5c7a-4212-93e5-cc60d223995e</errorID>
      <errorWord>红开区</errorWord>
      <group>L1_Word</group>
      <groupName>字词问题</groupName>
      <ability>L2_Typo</ability>
      <abilityName>字词错误</abilityName>
      <candidateList>
        <item>经开区</item>
      </candidateList>
      <explain/>
      <paraID>641CBE01</paraID>
      <start>389</start>
      <end>392</end>
      <status>ignored</status>
      <modifiedWord/>
      <trackRevisions>false</trackRevisions>
    </reviewItem>
    <reviewItem>
      <errorID>d9f29c75-0b73-441d-8b42-6d951329132d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3DEED77E</paraID>
      <start>72</start>
      <end>73</end>
      <status>unmodified</status>
      <modifiedWord/>
      <trackRevisions>false</trackRevisions>
    </reviewItem>
    <reviewItem>
      <errorID>467e0a75-f3d0-4743-b162-421dfcf8749a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3DEED77E</paraID>
      <start>85</start>
      <end>86</end>
      <status>unmodified</status>
      <modifiedWord/>
      <trackRevisions>false</trackRevisions>
    </reviewItem>
    <reviewItem>
      <errorID>0a033ef0-20e7-49f9-9333-6b9a8049928b</errorID>
      <errorWord>大</errorWord>
      <group>L1_Word</group>
      <groupName>字词问题</groupName>
      <ability>L2_Typo</ability>
      <abilityName>字词错误</abilityName>
      <candidateList>
        <item>大对</item>
      </candidateList>
      <explain/>
      <paraID>62A3A570</paraID>
      <start>15</start>
      <end>17</end>
      <status>modified</status>
      <modifiedWord>大对</modifiedWord>
      <trackRevisions>false</trackRevisions>
    </reviewItem>
    <reviewItem>
      <errorID>2a15a031-4fa2-441b-935a-05e4160c7052</errorID>
      <errorWord>红开区</errorWord>
      <group>L1_Word</group>
      <groupName>字词问题</groupName>
      <ability>L2_Typo</ability>
      <abilityName>字词错误</abilityName>
      <candidateList>
        <item>经开区</item>
      </candidateList>
      <explain/>
      <paraID>219A685F</paraID>
      <start>21</start>
      <end>24</end>
      <status>ignored</status>
      <modifiedWord/>
      <trackRevisions>false</trackRevisions>
    </reviewItem>
    <reviewItem>
      <errorID>616128a5-c27c-4c44-973d-41e5eff1cef6</errorID>
      <errorWord>转</errorWord>
      <group>L1_Word</group>
      <groupName>字词问题</groupName>
      <ability>L2_Typo</ability>
      <abilityName>字词错误</abilityName>
      <candidateList>
        <item>转化</item>
      </candidateList>
      <explain/>
      <paraID>2E940E34</paraID>
      <start>30</start>
      <end>31</end>
      <status>unmodified</status>
      <modifiedWord/>
      <trackRevisions>false</trackRevisions>
    </reviewItem>
    <reviewItem>
      <errorID>0ccbe195-9da0-48e8-8115-daa65167ac73</errorID>
      <errorWord>，</errorWord>
      <group>L1_Word</group>
      <groupName>字词问题</groupName>
      <ability>L2_Typo</ability>
      <abilityName>字词错误</abilityName>
      <candidateList>
        <item>，在</item>
      </candidateList>
      <explain/>
      <paraID>35DCEC19</paraID>
      <start>146</start>
      <end>147</end>
      <status>unmodified</status>
      <modifiedWord/>
      <trackRevisions>false</trackRevisions>
    </reviewItem>
    <reviewItem>
      <errorID>8d962ef5-30d5-435a-8aa7-d637047d52df</errorID>
      <errorWord>深度</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23328C69</paraID>
      <start>2</start>
      <end>4</end>
      <status>modified</status>
      <modifiedWord>深入</modifiedWord>
      <trackRevisions>false</trackRevisions>
    </reviewItem>
    <reviewItem>
      <errorID>8bcfd030-97c9-4470-b79b-8cfa1194f55b</errorID>
      <errorWord>红开区</errorWord>
      <group>L1_Word</group>
      <groupName>字词问题</groupName>
      <ability>L2_Typo</ability>
      <abilityName>字词错误</abilityName>
      <candidateList>
        <item>经开区</item>
      </candidateList>
      <explain/>
      <paraID>23328C69</paraID>
      <start>47</start>
      <end>50</end>
      <status>ignored</status>
      <modifiedWord/>
      <trackRevisions>false</trackRevisions>
    </reviewItem>
    <reviewItem>
      <errorID>c0fb256b-6e5a-47be-8ba9-0a138a319004</errorID>
      <errorWord>隐形壁垒</errorWord>
      <group>L1_Political</group>
      <groupName>政治性问题</groupName>
      <ability>L2_Unpolitical</ability>
      <abilityName>政治敏感错误</abilityName>
      <candidateList>
        <item>隐性壁垒</item>
      </candidateList>
      <explain/>
      <paraID>7D1709BE</paraID>
      <start>188</start>
      <end>192</end>
      <status>modified</status>
      <modifiedWord>隐性壁垒</modifiedWord>
      <trackRevisions>false</trackRevisions>
    </reviewItem>
    <reviewItem>
      <errorID>11173033-d957-4471-9a93-b0b155823d15</errorID>
      <errorWord>、等</errorWord>
      <group>L1_Punc</group>
      <groupName>标点问题</groupName>
      <ability>L2_Punc</ability>
      <abilityName>标点符号检查</abilityName>
      <candidateList>
        <item>等</item>
      </candidateList>
      <explain>“及”“和”“等”连词前不宜使用顿号，建议删除（或使用逗号）。</explain>
      <paraID>54522851</paraID>
      <start>186</start>
      <end>188</end>
      <status>unmodified</status>
      <modifiedWord/>
      <trackRevisions>false</trackRevisions>
    </reviewItem>
    <reviewItem>
      <errorID>c6228717-9497-46a2-b166-5209437c705d</errorID>
      <errorWord>炉炉</errorWord>
      <group>L1_Word</group>
      <groupName>字词问题</groupName>
      <ability>L2_Typo</ability>
      <abilityName>字词错误</abilityName>
      <candidateList>
        <item>炉</item>
      </candidateList>
      <explain/>
      <paraID>7ECC200D</paraID>
      <start>142</start>
      <end>144</end>
      <status>unmodified</status>
      <modifiedWord/>
      <trackRevisions>false</trackRevisions>
    </reviewItem>
    <reviewItem>
      <errorID>ba1d1ddb-7065-45db-9906-39c131f7d595</errorID>
      <errorWord>增强</errorWord>
      <group>L1_Word</group>
      <groupName>字词问题</groupName>
      <ability>L2_Typo</ability>
      <abilityName>字词错误</abilityName>
      <candidateList>
        <item>提升</item>
      </candidateList>
      <explain>“增强～水平”搭配不当，建议修改为“提升～水平”。</explain>
      <paraID>39DAE17E</paraID>
      <start>34</start>
      <end>36</end>
      <status>modified</status>
      <modifiedWord>提升</modifiedWord>
      <trackRevisions>false</trackRevisions>
    </reviewItem>
    <reviewItem>
      <errorID>472ad101-a2e5-473a-b3f7-996b1c809b62</errorID>
      <errorWord>群体的</errorWord>
      <group>L1_Word</group>
      <groupName>字词问题</groupName>
      <ability>L2_Typo</ability>
      <abilityName>字词错误</abilityName>
      <candidateList>
        <item>群体</item>
      </candidateList>
      <explain/>
      <paraID>67929916</paraID>
      <start>35</start>
      <end>37</end>
      <status>modified</status>
      <modifiedWord>群体</modifiedWord>
      <trackRevisions>false</trackRevisions>
    </reviewItem>
    <reviewItem>
      <errorID>17b04edb-ca12-43e9-99a0-23c6d4e8329a</errorID>
      <errorWord>刑释</errorWord>
      <group>L1_Word</group>
      <groupName>字词问题</groupName>
      <ability>L2_Typo</ability>
      <abilityName>字词错误</abilityName>
      <candidateList>
        <item>刑事</item>
      </candidateList>
      <explain/>
      <paraID>67929916</paraID>
      <start>192</start>
      <end>194</end>
      <status>unmodified</status>
      <modifiedWord/>
      <trackRevisions>false</trackRevisions>
    </reviewItem>
    <reviewItem>
      <errorID>5824eecc-00d8-45a8-8995-3526b5b06c9f</errorID>
      <errorWord>-</errorWord>
      <group>L1_Format</group>
      <groupName>格式问题</groupName>
      <ability>L2_HalfPunc</ability>
      <abilityName>全半角检查</abilityName>
      <candidateList>
        <item>－</item>
      </candidateList>
      <explain>文本全半角错误。</explain>
      <paraID> 8EE28FA</paraID>
      <start>35</start>
      <end>36</end>
      <status>unmodified</status>
      <modifiedWord/>
      <trackRevisions>false</trackRevisions>
    </reviewItem>
    <reviewItem>
      <errorID>c747b98c-1051-489a-82da-868a2fcd287e</errorID>
      <errorWord>-</errorWord>
      <group>L1_Format</group>
      <groupName>格式问题</groupName>
      <ability>L2_HalfPunc</ability>
      <abilityName>全半角检查</abilityName>
      <candidateList>
        <item>－</item>
      </candidateList>
      <explain>文本全半角错误。</explain>
      <paraID> 8EE28FA</paraID>
      <start>51</start>
      <end>52</end>
      <status>unmodified</status>
      <modifiedWord/>
      <trackRevisions>false</trackRevisions>
    </reviewItem>
    <reviewItem>
      <errorID>e25e1ce7-e09d-4720-a79a-6322a58eb0de</errorID>
      <errorWord>-</errorWord>
      <group>L1_Format</group>
      <groupName>格式问题</groupName>
      <ability>L2_HalfPunc</ability>
      <abilityName>全半角检查</abilityName>
      <candidateList>
        <item>－</item>
      </candidateList>
      <explain>文本全半角错误。</explain>
      <paraID> 8EE28FA</paraID>
      <start>64</start>
      <end>65</end>
      <status>unmodified</status>
      <modifiedWord/>
      <trackRevisions>false</trackRevisions>
    </reviewItem>
    <reviewItem>
      <errorID>a9480ee3-94be-47e6-a2b0-e3f546039abd</errorID>
      <errorWord>-</errorWord>
      <group>L1_Format</group>
      <groupName>格式问题</groupName>
      <ability>L2_HalfPunc</ability>
      <abilityName>全半角检查</abilityName>
      <candidateList>
        <item>－</item>
      </candidateList>
      <explain>文本全半角错误。</explain>
      <paraID> 8EE28FA</paraID>
      <start>78</start>
      <end>79</end>
      <status>unmodified</status>
      <modifiedWord/>
      <trackRevisions>false</trackRevisions>
    </reviewItem>
    <reviewItem>
      <errorID>682636c6-e340-489f-8ba5-bf66868edefb</errorID>
      <errorWord>-</errorWord>
      <group>L1_Format</group>
      <groupName>格式问题</groupName>
      <ability>L2_HalfPunc</ability>
      <abilityName>全半角检查</abilityName>
      <candidateList>
        <item>－</item>
      </candidateList>
      <explain>文本全半角错误。</explain>
      <paraID> 8EE28FA</paraID>
      <start>92</start>
      <end>93</end>
      <status>unmodified</status>
      <modifiedWord/>
      <trackRevisions>false</trackRevisions>
    </reviewItem>
    <reviewItem>
      <errorID>ee3f7080-dc1e-48af-a542-f9df11a99d87</errorID>
      <errorWord>-</errorWord>
      <group>L1_Format</group>
      <groupName>格式问题</groupName>
      <ability>L2_HalfPunc</ability>
      <abilityName>全半角检查</abilityName>
      <candidateList>
        <item>－</item>
      </candidateList>
      <explain>文本全半角错误。</explain>
      <paraID> 8EE28FA</paraID>
      <start>105</start>
      <end>106</end>
      <status>unmodified</status>
      <modifiedWord/>
      <trackRevisions>false</trackRevisions>
    </reviewItem>
    <reviewItem>
      <errorID>558e947a-5879-4d43-b932-a9f65b6e7249</errorID>
      <errorWord>座</errorWord>
      <group>L1_Knowledge</group>
      <groupName>知识性问题</groupName>
      <ability>L2_Knowledge</ability>
      <abilityName>其他知识</abilityName>
      <candidateList>
        <item>口</item>
      </candidateList>
      <explain>请检查“座”是否为量词使用错误，建议修改为“口”。</explain>
      <paraID>53222247</paraID>
      <start>60</start>
      <end>61</end>
      <status>unmodified</status>
      <modifiedWord/>
      <trackRevisions>false</trackRevisions>
    </reviewItem>
    <reviewItem>
      <errorID>ab48b66d-fa70-42ad-b946-b6505d3b7ef0</errorID>
      <errorWord>-</errorWord>
      <group>L1_Format</group>
      <groupName>格式问题</groupName>
      <ability>L2_HalfPunc</ability>
      <abilityName>全半角检查</abilityName>
      <candidateList>
        <item>－</item>
      </candidateList>
      <explain>文本全半角错误。</explain>
      <paraID>31F45B84</paraID>
      <start>7</start>
      <end>8</end>
      <status>unmodified</status>
      <modifiedWord/>
      <trackRevisions>false</trackRevisions>
    </reviewItem>
    <reviewItem>
      <errorID>8724dc0c-f380-4d62-9e49-ce12c8120ba8</errorID>
      <errorWord>-</errorWord>
      <group>L1_Format</group>
      <groupName>格式问题</groupName>
      <ability>L2_HalfPunc</ability>
      <abilityName>全半角检查</abilityName>
      <candidateList>
        <item>－</item>
      </candidateList>
      <explain>文本全半角错误。</explain>
      <paraID>5742F18F</paraID>
      <start>10</start>
      <end>11</end>
      <status>unmodified</status>
      <modifiedWord/>
      <trackRevisions>false</trackRevisions>
    </reviewItem>
    <reviewItem>
      <errorID>7e207aa8-afe3-45d1-98a9-d2db1b1129a9</errorID>
      <errorWord>:</errorWord>
      <group>L1_Format</group>
      <groupName>格式问题</groupName>
      <ability>L2_HalfPunc</ability>
      <abilityName>全半角检查</abilityName>
      <candidateList>
        <item>：</item>
      </candidateList>
      <explain>文本全半角错误。</explain>
      <paraID>5742F18F</paraID>
      <start>19</start>
      <end>20</end>
      <status>unmodified</status>
      <modifiedWord/>
      <trackRevisions>false</trackRevisions>
    </reviewItem>
    <reviewItem>
      <errorID>c7f05531-0da6-4184-a8da-126d904883f1</errorID>
      <errorWord>-</errorWord>
      <group>L1_Format</group>
      <groupName>格式问题</groupName>
      <ability>L2_HalfPunc</ability>
      <abilityName>全半角检查</abilityName>
      <candidateList>
        <item>－</item>
      </candidateList>
      <explain>文本全半角错误。</explain>
      <paraID>51566D14</paraID>
      <start>7</start>
      <end>8</end>
      <status>unmodified</status>
      <modifiedWord/>
      <trackRevisions>false</trackRevisions>
    </reviewItem>
    <reviewItem>
      <errorID>5ba13685-2125-4390-b43d-783b9f241a54</errorID>
      <errorWord>-</errorWord>
      <group>L1_Format</group>
      <groupName>格式问题</groupName>
      <ability>L2_HalfPunc</ability>
      <abilityName>全半角检查</abilityName>
      <candidateList>
        <item>－</item>
      </candidateList>
      <explain>文本全半角错误。</explain>
      <paraID>798F3134</paraID>
      <start>8</start>
      <end>9</end>
      <status>unmodified</status>
      <modifiedWord/>
      <trackRevisions>false</trackRevisions>
    </reviewItem>
    <reviewItem>
      <errorID>67a1bf85-14c4-48c4-a9e8-8cb17db1c024</errorID>
      <errorWord>-</errorWord>
      <group>L1_Format</group>
      <groupName>格式问题</groupName>
      <ability>L2_HalfPunc</ability>
      <abilityName>全半角检查</abilityName>
      <candidateList>
        <item>－</item>
      </candidateList>
      <explain>文本全半角错误。</explain>
      <paraID>12F0BD50</paraID>
      <start>8</start>
      <end>9</end>
      <status>unmodified</status>
      <modifiedWord/>
      <trackRevisions>false</trackRevisions>
    </reviewItem>
    <reviewItem>
      <errorID>5ef07861-7dbe-4aea-b1e9-0df7bbc9c159</errorID>
      <errorWord>-</errorWord>
      <group>L1_Format</group>
      <groupName>格式问题</groupName>
      <ability>L2_HalfPunc</ability>
      <abilityName>全半角检查</abilityName>
      <candidateList>
        <item>－</item>
      </candidateList>
      <explain>文本全半角错误。</explain>
      <paraID>7F2AB953</paraID>
      <start>7</start>
      <end>8</end>
      <status>unmodified</status>
      <modifiedWord/>
      <trackRevisions>false</trackRevisions>
    </reviewItem>
    <reviewItem>
      <errorID>6e8843a2-d8f4-4986-b468-94abb425cdef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59E3FA9A</paraID>
      <start>196</start>
      <end>199</end>
      <status>unmodified</status>
      <modifiedWord/>
      <trackRevisions>false</trackRevisions>
    </reviewItem>
    <reviewItem>
      <errorID>904fc611-1269-4c00-b706-fa04b7148722</errorID>
      <errorWord>增强“四个意识”，坚定“四个自信”，做到“两个维护”</errorWord>
      <group>L1_Political</group>
      <groupName>政治性问题</groupName>
      <ability>L2_Keyword</ability>
      <abilityName>固定表述</abilityName>
      <candidateList>
        <item>增强“四个意识”、坚定“四个自信”、做到“两个维护”</item>
      </candidateList>
      <explain>注意检查当前固定表述标点是否使用规范。</explain>
      <paraID> 2631611</paraID>
      <start>65</start>
      <end>91</end>
      <status>unmodified</status>
      <modifiedWord/>
      <trackRevisions>false</trackRevisions>
    </reviewItem>
    <reviewItem>
      <errorID>bc3e3831-8bb2-460d-99a6-2efd1ca68a43</errorID>
      <errorWord>部门联席会议</errorWord>
      <group>L1_Knowledge</group>
      <groupName>知识性问题</groupName>
      <ability>L2_Term</ability>
      <abilityName>专业术语</abilityName>
      <candidateList>
        <item>部际联席会议</item>
      </candidateList>
      <explain/>
      <paraID> 2631611</paraID>
      <start>158</start>
      <end>164</end>
      <status>modified</status>
      <modifiedWord>部际联席会议</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84610-9142-4446-BE29-BF9A814ED44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611</Words>
  <Characters>643</Characters>
  <Lines>306</Lines>
  <Paragraphs>86</Paragraphs>
  <TotalTime>27</TotalTime>
  <ScaleCrop>false</ScaleCrop>
  <LinksUpToDate>false</LinksUpToDate>
  <CharactersWithSpaces>730</CharactersWithSpaces>
  <Application>WPS Office_12.1.0.25225_F1E327BC-269C-435d-A152-05C5408002CA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2025-03-07T13:18:00Z</dcterms:created>
  <dc:creator>17271</dc:creator>
  <cp:lastModifiedBy>Administrator</cp:lastModifiedBy>
  <cp:lastPrinted>2026-02-10T00:22:00Z</cp:lastPrinted>
  <dcterms:modified xsi:type="dcterms:W3CDTF">2026-03-12T05:45:44Z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eyJoZGlkIjoiOTJmZDM1M2ViOWU5NWI2ZGI0MmUxMWJlZWE4ZDBlMDcifQ==</vt:lpwstr>
  </property>
  <property fmtid="{D5CDD505-2E9C-101B-9397-08002B2CF9AE}" pid="4" name="ICV">
    <vt:lpwstr>418352FE4F3C4D94AB70101FE2DC9190_13</vt:lpwstr>
  </property>
</Properties>
</file>